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286"/>
      </w:tblGrid>
      <w:tr w:rsidR="00AA2144" w:rsidRPr="00AA2144" w14:paraId="269EB98A" w14:textId="77777777" w:rsidTr="00AA2144">
        <w:trPr>
          <w:trHeight w:val="381"/>
          <w:tblCellSpacing w:w="0" w:type="dxa"/>
        </w:trPr>
        <w:tc>
          <w:tcPr>
            <w:tcW w:w="3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44A7C" w14:textId="77777777" w:rsidR="00AA2144" w:rsidRPr="00AA2144" w:rsidRDefault="00AA2144" w:rsidP="00AA214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HÍNH PHỦ</w:t>
            </w:r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45A5" w14:textId="77777777" w:rsidR="00AA2144" w:rsidRPr="00AA2144" w:rsidRDefault="00AA2144" w:rsidP="00AA214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</w:t>
            </w:r>
          </w:p>
        </w:tc>
      </w:tr>
      <w:tr w:rsidR="00AA2144" w:rsidRPr="00AA2144" w14:paraId="4A6D7BAC" w14:textId="77777777" w:rsidTr="00AA2144">
        <w:trPr>
          <w:trHeight w:val="165"/>
          <w:tblCellSpacing w:w="0" w:type="dxa"/>
        </w:trPr>
        <w:tc>
          <w:tcPr>
            <w:tcW w:w="3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9A82" w14:textId="77777777" w:rsidR="00AA2144" w:rsidRPr="00AA2144" w:rsidRDefault="00AA2144" w:rsidP="00AA214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89/2013/NĐ-CP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299E" w14:textId="77777777" w:rsidR="00AA2144" w:rsidRPr="00AA2144" w:rsidRDefault="00AA2144" w:rsidP="00AA214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214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Hà</w:t>
            </w:r>
            <w:proofErr w:type="spellEnd"/>
            <w:r w:rsidRPr="00AA214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Nội</w:t>
            </w:r>
            <w:proofErr w:type="spellEnd"/>
            <w:r w:rsidRPr="00AA214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14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AA214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06 </w:t>
            </w:r>
            <w:proofErr w:type="spellStart"/>
            <w:r w:rsidRPr="00AA214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AA214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08 </w:t>
            </w:r>
            <w:proofErr w:type="spellStart"/>
            <w:r w:rsidRPr="00AA214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AA214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2013</w:t>
            </w:r>
          </w:p>
        </w:tc>
      </w:tr>
    </w:tbl>
    <w:p w14:paraId="652E5744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DD6A71E" w14:textId="77777777" w:rsidR="00AA2144" w:rsidRPr="00AA2144" w:rsidRDefault="00AA2144" w:rsidP="00AA214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loai_1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NGHỊ ĐỊNH</w:t>
      </w:r>
      <w:bookmarkEnd w:id="0"/>
    </w:p>
    <w:p w14:paraId="6ED5F473" w14:textId="77777777" w:rsidR="00AA2144" w:rsidRPr="00AA2144" w:rsidRDefault="00AA2144" w:rsidP="00AA214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loai_1_name"/>
      <w:r w:rsidRPr="00AA2144">
        <w:rPr>
          <w:rFonts w:ascii="Arial" w:eastAsia="Times New Roman" w:hAnsi="Arial" w:cs="Arial"/>
          <w:color w:val="000000"/>
          <w:sz w:val="24"/>
          <w:szCs w:val="24"/>
        </w:rPr>
        <w:t>QUY ĐỊNH CHI TIẾT THI HÀNH MỘT SỐ ĐIỀU CỦA LUẬT GIÁ VỀ THẨM ĐỊNH GIÁ</w:t>
      </w:r>
      <w:bookmarkEnd w:id="1"/>
    </w:p>
    <w:p w14:paraId="210FD5B7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25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tháng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12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năm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2001;</w:t>
      </w:r>
    </w:p>
    <w:p w14:paraId="7786A3B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20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tháng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6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năm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2012;</w:t>
      </w:r>
    </w:p>
    <w:p w14:paraId="0343CCA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29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tháng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11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năm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2005;</w:t>
      </w:r>
    </w:p>
    <w:p w14:paraId="5B0F9BA7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Theo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14:paraId="00D34637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chi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tiết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số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</w:p>
    <w:p w14:paraId="44396FB7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chuong_1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Chương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1.</w:t>
      </w:r>
      <w:bookmarkEnd w:id="2"/>
    </w:p>
    <w:p w14:paraId="6A7FA11C" w14:textId="77777777" w:rsidR="00AA2144" w:rsidRPr="00AA2144" w:rsidRDefault="00AA2144" w:rsidP="00AA214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chuong_1_name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NHỮNG QUY ĐỊNH CHUNG</w:t>
      </w:r>
      <w:bookmarkEnd w:id="3"/>
    </w:p>
    <w:p w14:paraId="3D54AE7A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dieu_1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chỉnh</w:t>
      </w:r>
      <w:bookmarkEnd w:id="4"/>
      <w:proofErr w:type="spellEnd"/>
    </w:p>
    <w:p w14:paraId="74B6491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bao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01F2890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dieu_2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tượng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áp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dụng</w:t>
      </w:r>
      <w:bookmarkEnd w:id="5"/>
      <w:proofErr w:type="spellEnd"/>
    </w:p>
    <w:p w14:paraId="1663E61F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17FE385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dieu_3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Giải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thích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ngữ</w:t>
      </w:r>
      <w:bookmarkEnd w:id="6"/>
      <w:proofErr w:type="spellEnd"/>
    </w:p>
    <w:p w14:paraId="724817E4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ngữ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dưới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hiểu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2C976F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5E5ECBA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0B74CE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nguyện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lĩnh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30CF4C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dùng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đánh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lượng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Nam.</w:t>
      </w:r>
    </w:p>
    <w:p w14:paraId="23177A78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dieu_4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4.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Nội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dung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7"/>
      <w:proofErr w:type="spellEnd"/>
    </w:p>
    <w:p w14:paraId="56C210F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triển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Nam.</w:t>
      </w:r>
    </w:p>
    <w:p w14:paraId="6E115CC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Nam.</w:t>
      </w:r>
    </w:p>
    <w:p w14:paraId="2B21D72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46B85F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cumtu_10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4.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xây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dữ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.</w:t>
      </w:r>
      <w:bookmarkEnd w:id="8"/>
    </w:p>
    <w:p w14:paraId="501BF4DE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9" w:name="khoan_13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5.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dưỡng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.</w:t>
      </w:r>
      <w:bookmarkEnd w:id="9"/>
    </w:p>
    <w:p w14:paraId="5B8DD91D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BCF200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khoa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quốc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40C7501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dieu_5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5.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10"/>
      <w:proofErr w:type="spellEnd"/>
    </w:p>
    <w:p w14:paraId="6CF14D5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thống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031530F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F4C2682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triển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Nam;</w:t>
      </w:r>
    </w:p>
    <w:p w14:paraId="276E550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Nam;</w:t>
      </w:r>
    </w:p>
    <w:p w14:paraId="4EC16CF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triển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triển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Nam;</w:t>
      </w:r>
    </w:p>
    <w:p w14:paraId="6D7E6E76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khoan_11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;</w:t>
      </w:r>
      <w:bookmarkEnd w:id="11"/>
    </w:p>
    <w:p w14:paraId="2660953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đ)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dưỡng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24810B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e)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khoa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dưỡng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1B5A110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khoan_1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g)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mẫu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;</w:t>
      </w:r>
      <w:bookmarkEnd w:id="12"/>
    </w:p>
    <w:p w14:paraId="2FF083DB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cumtu_4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h)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mua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trích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phòng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rủi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ro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;</w:t>
      </w:r>
      <w:bookmarkEnd w:id="13"/>
    </w:p>
    <w:p w14:paraId="38FF465F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lĩnh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343B84E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k)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quốc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A65617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l) Thanh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E58CEC6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cumtu_9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m)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đánh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soát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lượng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;</w:t>
      </w:r>
      <w:bookmarkEnd w:id="14"/>
    </w:p>
    <w:p w14:paraId="400152C7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n)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tướng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DD175C3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15" w:name="cumtu_11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o)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xây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dữ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.</w:t>
      </w:r>
      <w:bookmarkEnd w:id="15"/>
    </w:p>
    <w:p w14:paraId="379F68A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97F561D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5178941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16" w:name="dc_2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44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bookmarkEnd w:id="16"/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2F939B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Thanh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E26DBD1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3CBDAAF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E914BDC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17" w:name="dc_3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44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bookmarkEnd w:id="17"/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717FA0F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c) Thanh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DE0E1B3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dieu_6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6.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Tiêu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chuẩn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Việt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Nam</w:t>
      </w:r>
      <w:bookmarkEnd w:id="18"/>
    </w:p>
    <w:p w14:paraId="073F581D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thống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hướng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dẫn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tắc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tắc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phi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loại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thư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423F9F9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19" w:name="khoan_2_6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hướng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dẫn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End w:id="19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Nam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lãnh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Nam.</w:t>
      </w:r>
    </w:p>
    <w:p w14:paraId="13398A18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dieu_7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7.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20"/>
      <w:proofErr w:type="spellEnd"/>
    </w:p>
    <w:p w14:paraId="21737CE2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68AAC7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1080EB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D28DA51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36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mươi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34C47D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06CEAF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D7E896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đẳng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A6A217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491AA8A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dieu_8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8.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Thẻ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21"/>
      <w:proofErr w:type="spellEnd"/>
    </w:p>
    <w:p w14:paraId="43485CB4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khoan_12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22"/>
    </w:p>
    <w:p w14:paraId="4A1946C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7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6BDDF0B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dieu_9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9.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23"/>
      <w:proofErr w:type="spellEnd"/>
    </w:p>
    <w:p w14:paraId="7D228827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0CE343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dưỡng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1B6A33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quốc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xuất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xem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sung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sửa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quốc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6A0180D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6C75E7F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đánh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lượng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9811BAE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90FD17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đ)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lĩnh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EE42B6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e)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quốc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26218CF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24" w:name="cumtu_5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.</w:t>
      </w:r>
      <w:bookmarkEnd w:id="24"/>
    </w:p>
    <w:p w14:paraId="685EA9D8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25" w:name="dieu_10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10.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25"/>
      <w:proofErr w:type="spellEnd"/>
    </w:p>
    <w:p w14:paraId="12A6ABD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đảm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tuân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Nam.</w:t>
      </w:r>
    </w:p>
    <w:p w14:paraId="1F1B584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Mua,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716A1B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soát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mua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A45CD7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soát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con,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ruột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ruột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em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ruột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2E8BAEE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mua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5580EB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lãnh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soát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soát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E3A06B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soát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soát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mua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3202161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6.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2AD2EA1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cùng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cùng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đoàn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ty,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ty con;</w:t>
      </w:r>
    </w:p>
    <w:p w14:paraId="48E2864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soát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dưới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mọi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giữa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3546D7BD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Cùng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hay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soát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dưới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mọi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9CF4074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thỏa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EE8975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ngừng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C024EA6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26" w:name="dieu_11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11.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26"/>
      <w:proofErr w:type="spellEnd"/>
    </w:p>
    <w:p w14:paraId="5F902E0A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thỏa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giữa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đấu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đấu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vấn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943198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E36954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dung,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lượng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F0A753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lượng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: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tin;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F400C21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27" w:name="khoan_2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c)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mua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trích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phòng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rủi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ro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;</w:t>
      </w:r>
      <w:bookmarkEnd w:id="27"/>
    </w:p>
    <w:p w14:paraId="571E5B14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nhuận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đảm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298E94E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đ)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F3B2368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niêm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biểu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28" w:name="dc_1000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6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bookmarkEnd w:id="28"/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trọn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tỷ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(%)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ACA5754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29" w:name="dieu_12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12.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sở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ở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ngoài</w:t>
      </w:r>
      <w:bookmarkEnd w:id="29"/>
      <w:proofErr w:type="spellEnd"/>
    </w:p>
    <w:p w14:paraId="5F84DF72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đặt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77CFF8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30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mươi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đặt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dứt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kèm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1634265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30" w:name="chuong_2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Chương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2.</w:t>
      </w:r>
      <w:bookmarkEnd w:id="30"/>
    </w:p>
    <w:p w14:paraId="37F6F58F" w14:textId="77777777" w:rsidR="00AA2144" w:rsidRPr="00AA2144" w:rsidRDefault="00AA2144" w:rsidP="00AA214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31" w:name="chuong_2_name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QUY ĐỊNH CỤ THỂ</w:t>
      </w:r>
      <w:bookmarkEnd w:id="31"/>
    </w:p>
    <w:p w14:paraId="183732C3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32" w:name="muc_1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MỤC 1. TRÌNH TỰ, THỦ TỤC CẤP GIẤY CHỨNG NHẬN ĐỦ ĐIỀU KIỆN KINH DOANH DỊCH VỤ THẦM ĐỊNH GIÁ</w:t>
      </w:r>
      <w:bookmarkEnd w:id="32"/>
    </w:p>
    <w:p w14:paraId="18A32514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33" w:name="dieu_13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13.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lại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Giấy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chứng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nhận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đủ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kiện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kinh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dịch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giá</w:t>
      </w:r>
      <w:bookmarkEnd w:id="33"/>
      <w:proofErr w:type="spellEnd"/>
    </w:p>
    <w:p w14:paraId="45D2399F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34" w:name="dc_999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39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bookmarkEnd w:id="34"/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xem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CF95BEF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xem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548AB2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FD9D984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cháy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tai,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37A968F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35" w:name="dieu_14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14.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Hồ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sơ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đề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nghị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lại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Giấy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chứng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nhận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đủ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kiện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kinh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dịch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giá</w:t>
      </w:r>
      <w:bookmarkEnd w:id="35"/>
      <w:proofErr w:type="spellEnd"/>
    </w:p>
    <w:p w14:paraId="70EEE4A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7C6F2C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Mẫu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65C6594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1B1BBD3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36" w:name="cumtu_1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xác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dưỡng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);</w:t>
      </w:r>
      <w:bookmarkEnd w:id="36"/>
    </w:p>
    <w:p w14:paraId="7A7F7E6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821B6E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đ)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hữu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18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071675A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e)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9968F1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g)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lĩnh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4FFCED7A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52F460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Mẫu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19E32D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gốc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D103F3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355D8F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lĩnh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1F70D66B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37" w:name="dieu_15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15.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Thời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hạn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lại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Giấy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chứng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nhận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đủ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kiện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kinh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dịch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giá</w:t>
      </w:r>
      <w:bookmarkEnd w:id="37"/>
      <w:proofErr w:type="spellEnd"/>
    </w:p>
    <w:p w14:paraId="46DE8F2D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15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01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14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327960D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10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01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14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0B44F5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rõ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05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0553FB6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38" w:name="dieu_16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16.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Lệ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lại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38"/>
      <w:proofErr w:type="spellEnd"/>
    </w:p>
    <w:p w14:paraId="0179E0F2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BB748E4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39" w:name="khoan_2_16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nộp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dụng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bookmarkEnd w:id="39"/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1743208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40" w:name="dieu_17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17.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Những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thay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đổi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phải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thông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báo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cho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Bộ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chính</w:t>
      </w:r>
      <w:bookmarkEnd w:id="40"/>
      <w:proofErr w:type="spellEnd"/>
    </w:p>
    <w:p w14:paraId="61B0000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7FEAD78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dẫn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đảm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41" w:name="dc_12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39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bookmarkEnd w:id="41"/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051A31E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6EB9D87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42" w:name="cumtu_3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bao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  <w:bookmarkEnd w:id="42"/>
    </w:p>
    <w:p w14:paraId="6806FF8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chia,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hữu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F860D2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đ)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ngừng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dứt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4B3579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e)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F347EE4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15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dõi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soát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BF4E9C3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43" w:name="dieu_18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18.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ty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hữu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trở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lên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ty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cổ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phần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43"/>
      <w:proofErr w:type="spellEnd"/>
    </w:p>
    <w:p w14:paraId="0DB8BE47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44" w:name="khoan_1_18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35%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ty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hữu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35%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ty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35%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ty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hữu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ty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.</w:t>
      </w:r>
      <w:bookmarkEnd w:id="44"/>
    </w:p>
    <w:p w14:paraId="03685482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47EA0DE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45" w:name="muc_2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MỤC 2. ĐÌNH CHỈ KINH DOANH DỊCH VỤ THẨM ĐỊNH GIÁ, THU HỒI GIẤY CHỨNG NHẬN ĐỦ ĐIỀU KIỆN KINH DOANH DỊCH VỤ THẨM ĐỊNH GIÁ</w:t>
      </w:r>
      <w:bookmarkEnd w:id="45"/>
    </w:p>
    <w:p w14:paraId="18EE53D8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46" w:name="dieu_19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19.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Đình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46"/>
      <w:proofErr w:type="spellEnd"/>
    </w:p>
    <w:p w14:paraId="0A134E3A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47" w:name="dc_4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40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bookmarkEnd w:id="47"/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1ACC8DC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đảm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loại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48" w:name="dc_5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39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End w:id="48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03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CA265D4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nghiêm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trọng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bao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D2961E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tuân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Nam.</w:t>
      </w:r>
    </w:p>
    <w:p w14:paraId="379E171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phép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6E79E8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nhằm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lệch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EBA439E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lệch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lệch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dẫn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10%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15%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so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cuối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cùng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cùng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AC0C75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ra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0AB0368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49" w:name="cumtu_12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60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mươi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khắc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kèm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phép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49"/>
    </w:p>
    <w:p w14:paraId="5BAE8139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50" w:name="cumtu_7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xem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phép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loại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51" w:name="dc_6"/>
      <w:bookmarkEnd w:id="50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39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bookmarkEnd w:id="51"/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52" w:name="cumtu_7_name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20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52"/>
    </w:p>
    <w:p w14:paraId="50A05CBF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thỏa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312DA9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558861A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53" w:name="dieu_20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20. Thu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hồi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53"/>
      <w:proofErr w:type="spellEnd"/>
    </w:p>
    <w:p w14:paraId="601D9CF0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54" w:name="dc_7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40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bookmarkEnd w:id="54"/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B1A890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ra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xóa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khỏi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407328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dứt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32A1106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55" w:name="muc_3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MỤC 3. HÌNH THỨC, PHẠM VI CUNG CẤP DỊCH VỤ THẨM ĐỊNH GIÁ CỦA TỔ CHỨC THẨM ĐỊNH GIÁ NƯỚC NGOÀI TẠI VIỆT </w:t>
      </w:r>
      <w:bookmarkEnd w:id="55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NAM</w:t>
      </w:r>
    </w:p>
    <w:p w14:paraId="0FDC0500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56" w:name="dieu_21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21.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thức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cung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Nam</w:t>
      </w:r>
      <w:bookmarkEnd w:id="56"/>
    </w:p>
    <w:p w14:paraId="06B8811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hữu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Tỷ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18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F3DB3CF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, </w:t>
      </w:r>
      <w:bookmarkStart w:id="57" w:name="dc_8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39,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End w:id="57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D280596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58" w:name="dieu_22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22.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góp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vốn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58"/>
      <w:proofErr w:type="spellEnd"/>
    </w:p>
    <w:p w14:paraId="736B08D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10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C3FB0B1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quốc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phòng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26A6F4F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59" w:name="muc_4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MỤC 4. TRÌNH TỰ, THỦ TỤC THẨM ĐỊNH GIÁ CỦA NHÀ NƯỚC</w:t>
      </w:r>
      <w:bookmarkEnd w:id="59"/>
    </w:p>
    <w:p w14:paraId="283D1107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60" w:name="dieu_23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23.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sản</w:t>
      </w:r>
      <w:bookmarkEnd w:id="60"/>
      <w:proofErr w:type="spellEnd"/>
    </w:p>
    <w:p w14:paraId="49C2FF87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gọi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mua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61" w:name="dc_9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44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bookmarkEnd w:id="61"/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8D1AA8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Mua,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E8881CA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62" w:name="khoan_4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mua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15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nhưng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đấu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đấu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;</w:t>
      </w:r>
      <w:bookmarkEnd w:id="62"/>
    </w:p>
    <w:p w14:paraId="55E826C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Mua,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6249EFF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63" w:name="khoan_3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Mua,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lớn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duyệt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63"/>
    </w:p>
    <w:p w14:paraId="05F47C6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F550DC7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CFE520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39D9C0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kèm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thư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tế-kỹ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lượng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thư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076947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rõ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029E18F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64" w:name="dieu_24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24.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Tiếp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sản</w:t>
      </w:r>
      <w:bookmarkEnd w:id="64"/>
      <w:proofErr w:type="spellEnd"/>
    </w:p>
    <w:p w14:paraId="21BF065D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863E857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65" w:name="dc_13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45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bookmarkEnd w:id="65"/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28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BD5212D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đúng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26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c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29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rõ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do.</w:t>
      </w:r>
    </w:p>
    <w:p w14:paraId="6A66B7CD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66" w:name="dieu_25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25.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tự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sản</w:t>
      </w:r>
      <w:bookmarkEnd w:id="66"/>
      <w:proofErr w:type="spellEnd"/>
    </w:p>
    <w:p w14:paraId="01A62871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67" w:name="khoan_5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:</w:t>
      </w:r>
      <w:bookmarkEnd w:id="67"/>
    </w:p>
    <w:p w14:paraId="5E6A18E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74ACD1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BAB730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B68B4C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tin;</w:t>
      </w:r>
    </w:p>
    <w:p w14:paraId="7AECED9E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đ)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Nam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tắc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E64BBCF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68" w:name="cumtu_8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e)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duyệt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gửi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.</w:t>
      </w:r>
      <w:bookmarkEnd w:id="68"/>
    </w:p>
    <w:p w14:paraId="2985E651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Tùy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rút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gọn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so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0E17D7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597992C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69" w:name="dieu_26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26.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nước</w:t>
      </w:r>
      <w:bookmarkEnd w:id="69"/>
      <w:proofErr w:type="spellEnd"/>
    </w:p>
    <w:p w14:paraId="13DBFD6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9946E9E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E649151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327BC4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lượng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nhằm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thêm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66DA557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76CB60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đ)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08FF69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DF40D12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Tuân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6A63BF1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đảm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325647B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309C0F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Ngoài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83C632A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70" w:name="dieu_27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27.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Lập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lưu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trữ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hồ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sơ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sản</w:t>
      </w:r>
      <w:bookmarkEnd w:id="70"/>
      <w:proofErr w:type="spellEnd"/>
    </w:p>
    <w:p w14:paraId="5FB5108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047A0BC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71" w:name="khoan_7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;</w:t>
      </w:r>
      <w:bookmarkEnd w:id="71"/>
    </w:p>
    <w:p w14:paraId="16EE295C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72" w:name="khoan_6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luận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;</w:t>
      </w:r>
      <w:bookmarkEnd w:id="72"/>
    </w:p>
    <w:p w14:paraId="49B578D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1E91EA7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73" w:name="khoan_2_27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lưu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giữ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lưu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trữ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lưu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trữ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thiểu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10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thúc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.</w:t>
      </w:r>
      <w:bookmarkEnd w:id="73"/>
    </w:p>
    <w:p w14:paraId="7749CB00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74" w:name="dieu_28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28.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74"/>
      <w:proofErr w:type="spellEnd"/>
    </w:p>
    <w:p w14:paraId="64FDB32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</w:p>
    <w:p w14:paraId="73CE348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lãnh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8C2380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DECFAE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76241E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F8696BA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95141AD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gọi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tắt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lãnh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D51571A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4873E57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36F446D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EA10BFA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huyện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lãnh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Phòng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3552B6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56E96AA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E96AA7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5172FC2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gọi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mua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lãnh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5902814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mua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65E51D1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B75B4DC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cứ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DA8586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qua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bồi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dưỡng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đẳng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534FD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giúp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D2AB36A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tắc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2/3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lượng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03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03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họp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vắng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rõ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vắng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vấn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A31A7EC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75" w:name="khoan_8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luận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biểu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qua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mặt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họp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ngang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nhau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biểu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lưu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nếu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luận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lưu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phiên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họp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.</w:t>
      </w:r>
      <w:bookmarkEnd w:id="75"/>
    </w:p>
    <w:p w14:paraId="1E03EE57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dứt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hoàn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dứt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7DB3EC6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76" w:name="dieu_29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29.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76"/>
      <w:proofErr w:type="spellEnd"/>
    </w:p>
    <w:p w14:paraId="5103EA2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E39B04F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62D82A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lượng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nhằm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thêm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thuê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3AF9B36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86470D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04A2D64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8BC392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Tuân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7E8A51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đảm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312581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1CA6A6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D6101E1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con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dấu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D920D73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77" w:name="dieu_30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30.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77"/>
      <w:proofErr w:type="spellEnd"/>
    </w:p>
    <w:p w14:paraId="371AC03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84D6DE7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D7E01E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ra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đánh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61C8DC2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78" w:name="khoan_9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Biểu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xác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thì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lưu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mình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ghi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vào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bản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họp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  <w:shd w:val="clear" w:color="auto" w:fill="FFFF96"/>
        </w:rPr>
        <w:t>;</w:t>
      </w:r>
      <w:bookmarkEnd w:id="78"/>
    </w:p>
    <w:p w14:paraId="607708D7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19B173E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đ)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5D7780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6243121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Tuân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57DAC9B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đảm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môn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ý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đánh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c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153AC9F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tin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212225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CBBF72A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79" w:name="dieu_31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31.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không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gia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giá</w:t>
      </w:r>
      <w:bookmarkEnd w:id="79"/>
      <w:proofErr w:type="spellEnd"/>
    </w:p>
    <w:p w14:paraId="4205C965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nghĩa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30BF7F0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mẹ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con,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ruột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ruột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em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ruột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soát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D33A0A2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kỷ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cảnh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trở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chế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0A636CD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80" w:name="dieu_32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32. Chi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phí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thẩm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giá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tài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sản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nhà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nước</w:t>
      </w:r>
      <w:bookmarkEnd w:id="80"/>
      <w:proofErr w:type="spellEnd"/>
    </w:p>
    <w:p w14:paraId="7391290A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81" w:name="khoan_10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giao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hướng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dẫn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81"/>
    </w:p>
    <w:p w14:paraId="22E06B4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Riêng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mua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sắm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thì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đấu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6806C5F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82" w:name="chuong_3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Chương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3.</w:t>
      </w:r>
      <w:bookmarkEnd w:id="82"/>
    </w:p>
    <w:p w14:paraId="57CA295D" w14:textId="77777777" w:rsidR="00AA2144" w:rsidRPr="00AA2144" w:rsidRDefault="00AA2144" w:rsidP="00AA214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83" w:name="chuong_3_name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TỔ CHỨC THỰC HIỆN</w:t>
      </w:r>
      <w:bookmarkEnd w:id="83"/>
    </w:p>
    <w:p w14:paraId="01A1BF1D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84" w:name="dieu_33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33.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chuyển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tiếp</w:t>
      </w:r>
      <w:bookmarkEnd w:id="84"/>
      <w:proofErr w:type="spellEnd"/>
    </w:p>
    <w:p w14:paraId="352D6559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02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đảm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nộp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995C873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02 (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hai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đảm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bảo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28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2379CD5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85" w:name="dieu_34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34.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Hiệu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lực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hành</w:t>
      </w:r>
      <w:bookmarkEnd w:id="85"/>
      <w:proofErr w:type="spellEnd"/>
    </w:p>
    <w:p w14:paraId="5A8890A6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9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2013.</w:t>
      </w:r>
    </w:p>
    <w:p w14:paraId="44221CE0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bỏ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4" w:tgtFrame="_blank" w:tooltip="Nghị định 101/2005/NĐ-CP" w:history="1">
        <w:r w:rsidRPr="00AA2144">
          <w:rPr>
            <w:rFonts w:ascii="Arial" w:eastAsia="Times New Roman" w:hAnsi="Arial" w:cs="Arial"/>
            <w:color w:val="0E70C3"/>
            <w:sz w:val="24"/>
            <w:szCs w:val="24"/>
            <w:u w:val="single"/>
          </w:rPr>
          <w:t>101/2005/NĐ-CP</w:t>
        </w:r>
      </w:hyperlink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03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8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2005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bỏ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86" w:name="dc_10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14,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15,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16,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17,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18,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19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170/2003/NĐ-CP</w:t>
      </w:r>
      <w:bookmarkEnd w:id="86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12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2003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lệnh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bãi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bỏ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chuyển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87" w:name="dc_11"/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Khoản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24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153/2007/NĐ-CP</w:t>
      </w:r>
      <w:bookmarkEnd w:id="87"/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15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10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2007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chi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hướng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dẫn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bất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BBA9EC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Thẻ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viên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đây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vẫn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tiếp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tục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kể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lực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16A3D96" w14:textId="77777777" w:rsidR="00AA2144" w:rsidRPr="00AA2144" w:rsidRDefault="00AA2144" w:rsidP="00AA21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bookmarkStart w:id="88" w:name="dieu_35"/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35.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hành</w:t>
      </w:r>
      <w:bookmarkEnd w:id="88"/>
      <w:proofErr w:type="spellEnd"/>
    </w:p>
    <w:p w14:paraId="13C9A918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hướng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dẫn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ngang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trưởng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Chính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tịch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Ủy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ban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phố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trực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thuộc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Trung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ương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2144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AA2144">
        <w:rPr>
          <w:rFonts w:ascii="Arial" w:eastAsia="Times New Roman" w:hAnsi="Arial" w:cs="Arial"/>
          <w:color w:val="000000"/>
          <w:sz w:val="24"/>
          <w:szCs w:val="24"/>
        </w:rPr>
        <w:t>./.</w:t>
      </w:r>
    </w:p>
    <w:p w14:paraId="3A68AC1A" w14:textId="77777777" w:rsidR="00AA2144" w:rsidRPr="00AA2144" w:rsidRDefault="00AA2144" w:rsidP="00AA2144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A214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A2144" w:rsidRPr="00AA2144" w14:paraId="1B9EE16E" w14:textId="77777777" w:rsidTr="00AA214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25A1" w14:textId="77777777" w:rsidR="00AA2144" w:rsidRPr="00AA2144" w:rsidRDefault="00AA2144" w:rsidP="00AA214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60737691" w14:textId="77777777" w:rsidR="00AA2144" w:rsidRPr="00AA2144" w:rsidRDefault="00AA2144" w:rsidP="00AA214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21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AA21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AA21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Ban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Bí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thư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ương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Đảng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Thủ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tướng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Phó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Thủ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tướng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Chính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phủ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Bộ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Bộ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thuộc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CP;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HĐND, UBND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tỉnh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TP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trực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thuộc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TW;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ương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và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Đảng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Tổng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Bí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thư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Chủ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tịch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nước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Hội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đồng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Dân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tộc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và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Ủy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Quốc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hội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Quốc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hội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Tòa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án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nhân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dân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tối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cao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kiểm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sát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nhân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dân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tối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cao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Kiểm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toán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Nhà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nước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Ủy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Giám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sát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tài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chính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Quốc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gia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Ngân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Chính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sách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xã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hội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Ngân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Phát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triển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Việt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Nam;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UBTW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Mặt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trận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Tổ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quốc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Việt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Nam;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ương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đoàn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thể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Ban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Chỉ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đạo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Đổi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mới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và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Phát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triển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doanh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nghiệp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Thương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mại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và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Công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nghiệp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Việt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Nam;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Hiệp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hội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doanh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nghiệp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nhỏ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và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vừa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Việt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Nam;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VPCP: BTCN,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PCN,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Trợ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lý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TTCP,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Cổng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TTĐT,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Vụ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Cục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đơn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vị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trực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thuộc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Công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Lưu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thư</w:t>
            </w:r>
            <w:proofErr w:type="spellEnd"/>
            <w:r w:rsidRPr="00AA2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KTTH (3b).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73CA" w14:textId="77777777" w:rsidR="00AA2144" w:rsidRPr="00AA2144" w:rsidRDefault="00AA2144" w:rsidP="00AA214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TM. CHÍNH PHỦ</w:t>
            </w:r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THỦ TƯỚNG</w:t>
            </w:r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A21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14:paraId="06EA5078" w14:textId="77777777" w:rsidR="00A95FA5" w:rsidRPr="00250057" w:rsidRDefault="00A95FA5">
      <w:pPr>
        <w:rPr>
          <w:rFonts w:ascii="Arial" w:hAnsi="Arial" w:cs="Arial"/>
          <w:sz w:val="24"/>
          <w:szCs w:val="24"/>
        </w:rPr>
      </w:pPr>
    </w:p>
    <w:sectPr w:rsidR="00A95FA5" w:rsidRPr="0025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44"/>
    <w:rsid w:val="00250057"/>
    <w:rsid w:val="00A95FA5"/>
    <w:rsid w:val="00A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0F9F"/>
  <w15:chartTrackingRefBased/>
  <w15:docId w15:val="{5CAC61EA-5169-4CE0-A148-AE30EB9B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2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doanh-nghiep/nghi-dinh-101-2005-nd-cp-tham-dinh-gia-25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6525</Words>
  <Characters>37196</Characters>
  <Application>Microsoft Office Word</Application>
  <DocSecurity>0</DocSecurity>
  <Lines>309</Lines>
  <Paragraphs>87</Paragraphs>
  <ScaleCrop>false</ScaleCrop>
  <Company/>
  <LinksUpToDate>false</LinksUpToDate>
  <CharactersWithSpaces>43634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2021-07-08T14:44:00Z</dcterms:created>
  <dcterms:modified xsi:type="dcterms:W3CDTF">2021-07-08T14:45:00Z</dcterms:modified>
</cp:coreProperties>
</file>