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31"/>
      </w:tblGrid>
      <w:tr w:rsidR="007D7010" w:rsidRPr="007D7010" w14:paraId="59D4EEE3" w14:textId="77777777" w:rsidTr="007D7010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59833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BỘ TÀI CHÍNH</w:t>
            </w: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--------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C8C09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CỘNG HÒA XÃ HỘI CHỦ NGHĨA VIỆT NAM</w:t>
            </w: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Độc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lập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Tự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Hạnh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phúc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----------------</w:t>
            </w:r>
          </w:p>
        </w:tc>
      </w:tr>
      <w:tr w:rsidR="007D7010" w:rsidRPr="007D7010" w14:paraId="4509AFF5" w14:textId="77777777" w:rsidTr="007D7010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6E7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: 06/2014/TT-BTC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38E0" w14:textId="77777777" w:rsidR="007D7010" w:rsidRPr="007D7010" w:rsidRDefault="007D7010" w:rsidP="007D701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Hà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Nội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ngày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07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tháng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01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năm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2014</w:t>
            </w:r>
          </w:p>
        </w:tc>
      </w:tr>
    </w:tbl>
    <w:p w14:paraId="1FB027E4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3F72028" w14:textId="77777777" w:rsidR="007D7010" w:rsidRPr="007D7010" w:rsidRDefault="007D7010" w:rsidP="007D701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1"/>
      <w:r w:rsidRPr="007D7010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 TƯ</w:t>
      </w:r>
      <w:bookmarkEnd w:id="0"/>
    </w:p>
    <w:p w14:paraId="7A997F8F" w14:textId="77777777" w:rsidR="007D7010" w:rsidRPr="007D7010" w:rsidRDefault="007D7010" w:rsidP="007D701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loai_1_name"/>
      <w:r w:rsidRPr="007D7010">
        <w:rPr>
          <w:rFonts w:ascii="Arial" w:eastAsia="Times New Roman" w:hAnsi="Arial" w:cs="Arial"/>
          <w:color w:val="000000"/>
          <w:sz w:val="20"/>
          <w:szCs w:val="20"/>
        </w:rPr>
        <w:t>BAN HÀNH TIÊU CHUẨN THẨM ĐỊNH GIÁ SỐ 13</w:t>
      </w:r>
      <w:bookmarkEnd w:id="1"/>
    </w:p>
    <w:p w14:paraId="6DBF99C4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11/2012/QH13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20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6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2012;</w:t>
      </w:r>
    </w:p>
    <w:p w14:paraId="6A7AE81D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89/2013/NĐ-CP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06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8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2013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Chính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phủ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tiết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;</w:t>
      </w:r>
    </w:p>
    <w:p w14:paraId="0827A0B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cứ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215/2013/NĐ-CP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23/12/2013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Chính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phủ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năng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nhiệm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vụ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hạn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cấu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chính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;</w:t>
      </w:r>
    </w:p>
    <w:p w14:paraId="734E4454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Xét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đề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Cục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trưởng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Cục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Quản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;</w:t>
      </w:r>
    </w:p>
    <w:p w14:paraId="1CA04A45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trưởng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chính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ban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Tiêu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chuẩn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13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4C4E075E" w14:textId="77777777" w:rsidR="007D7010" w:rsidRPr="007D7010" w:rsidRDefault="007D7010" w:rsidP="007D701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dieu_1"/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1.</w:t>
      </w:r>
      <w:bookmarkEnd w:id="2"/>
      <w:r w:rsidRPr="007D7010"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3" w:name="dieu_1_name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Ban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kèm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13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  <w:bookmarkEnd w:id="3"/>
    </w:p>
    <w:p w14:paraId="687D73DE" w14:textId="77777777" w:rsidR="007D7010" w:rsidRPr="007D7010" w:rsidRDefault="007D7010" w:rsidP="007D701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dieu_2"/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2.</w:t>
      </w:r>
      <w:bookmarkEnd w:id="4"/>
      <w:r w:rsidRPr="007D7010"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5" w:name="dieu_2_name"/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bookmarkEnd w:id="5"/>
      <w:proofErr w:type="spellEnd"/>
    </w:p>
    <w:p w14:paraId="2FD2F9DF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kèm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BC89AE8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Cục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kèm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9EB8747" w14:textId="77777777" w:rsidR="007D7010" w:rsidRPr="007D7010" w:rsidRDefault="007D7010" w:rsidP="007D701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6" w:name="dieu_3"/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3.</w:t>
      </w:r>
      <w:bookmarkEnd w:id="6"/>
      <w:r w:rsidRPr="007D7010"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7" w:name="dieu_3_name"/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21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02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2014</w:t>
      </w:r>
      <w:bookmarkEnd w:id="7"/>
    </w:p>
    <w:p w14:paraId="0BB1963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vướng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mắc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./.</w:t>
      </w:r>
    </w:p>
    <w:p w14:paraId="36DBC91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083"/>
      </w:tblGrid>
      <w:tr w:rsidR="007D7010" w:rsidRPr="007D7010" w14:paraId="4177B90C" w14:textId="77777777" w:rsidTr="007D7010">
        <w:trPr>
          <w:tblCellSpacing w:w="0" w:type="dxa"/>
        </w:trPr>
        <w:tc>
          <w:tcPr>
            <w:tcW w:w="4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F4C48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4DDE2B77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7D7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- 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Thủ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tướng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phủ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Phó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thủ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tướng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phủ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Văn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phòng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phủ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Văn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phòng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Tổng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bí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thư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Văn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phòng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Quốc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hội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Văn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phòng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Chủ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tịch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Bộ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cơ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ngang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Bộ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cơ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quan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phủ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TAND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tối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cao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VKSND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tối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cao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Kiểm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toán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nhà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Cục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Kiểm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tra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văn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bản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Bộ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Tư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pháp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HĐND, UBND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tỉnh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thành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phố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trực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Trung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ương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Sở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Tài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tỉnh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thành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phố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trực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Trung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ương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Công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báo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Website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phủ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Website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Bộ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Tài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đơn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vị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thuộc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Bộ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Tài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chính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Phòng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Thương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mại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và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công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nghiệp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Việt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Nam;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Hội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Thẩm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định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giá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Việt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Nam;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doanh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nghiệp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thẩm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định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giá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Các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tập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đoàn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kinh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tế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Tổng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công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ty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Nhà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nước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-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Lưu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16"/>
                <w:szCs w:val="16"/>
              </w:rPr>
              <w:t>: VT, QLG (5).</w:t>
            </w: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64EBE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KT. BỘ TRƯỞNG</w:t>
            </w: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THỨ TRƯỞNG</w:t>
            </w: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Trần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Văn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Hiếu</w:t>
            </w:r>
            <w:proofErr w:type="spellEnd"/>
          </w:p>
        </w:tc>
      </w:tr>
    </w:tbl>
    <w:p w14:paraId="2902DC0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DBFA3C6" w14:textId="77777777" w:rsidR="007D7010" w:rsidRPr="007D7010" w:rsidRDefault="007D7010" w:rsidP="007D701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8" w:name="loai_2"/>
      <w:r w:rsidRPr="007D7010">
        <w:rPr>
          <w:rFonts w:ascii="Arial" w:eastAsia="Times New Roman" w:hAnsi="Arial" w:cs="Arial"/>
          <w:b/>
          <w:bCs/>
          <w:color w:val="000000"/>
          <w:sz w:val="18"/>
          <w:szCs w:val="18"/>
        </w:rPr>
        <w:t>TIÊU CHUẨN THẨM ĐỊNH GIÁ SỐ 13</w:t>
      </w:r>
      <w:bookmarkEnd w:id="8"/>
    </w:p>
    <w:p w14:paraId="6BFADBB6" w14:textId="77777777" w:rsidR="007D7010" w:rsidRPr="007D7010" w:rsidRDefault="007D7010" w:rsidP="007D701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9" w:name="loai_2_name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 ĐỊNH GIÁ TÀI SẢN VÔ HÌNH</w:t>
      </w:r>
      <w:bookmarkEnd w:id="9"/>
    </w:p>
    <w:p w14:paraId="11CBCDD4" w14:textId="77777777" w:rsidR="007D7010" w:rsidRPr="007D7010" w:rsidRDefault="007D7010" w:rsidP="007D701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0" w:name="loai_2_name_name"/>
      <w:r w:rsidRPr="007D7010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 TĐGVN 13)</w:t>
      </w:r>
      <w:bookmarkEnd w:id="10"/>
    </w:p>
    <w:p w14:paraId="52A40978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(Ban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kèm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06/2014/TT-BTC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07/01/2014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trưởng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chính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14:paraId="7A0C170F" w14:textId="77777777" w:rsidR="007D7010" w:rsidRPr="007D7010" w:rsidRDefault="007D7010" w:rsidP="007D701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1" w:name="loai_3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 ĐỊNH CHUNG</w:t>
      </w:r>
      <w:bookmarkEnd w:id="11"/>
    </w:p>
    <w:p w14:paraId="3CDD8BD1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Phạm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phục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chuyển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chấp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chấp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A49A40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gọi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6263E84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ngữ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54391A9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>3.1. 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  <w:r w:rsidRPr="007D7010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DBE7F2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thỏa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0021DD82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đựng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2E3B76E1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tồn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đĩa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máy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, v.v.);</w:t>
      </w:r>
    </w:p>
    <w:p w14:paraId="3A4C677D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202AEEC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A17A70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>3.2. 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  <w:r w:rsidRPr="007D7010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...</w:t>
      </w:r>
      <w:proofErr w:type="spellStart"/>
      <w:proofErr w:type="gram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v.v</w:t>
      </w:r>
      <w:proofErr w:type="spellEnd"/>
      <w:proofErr w:type="gramEnd"/>
      <w:r w:rsidRPr="007D7010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14:paraId="68709E99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43813D9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50253DF9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,...</w:t>
      </w:r>
      <w:proofErr w:type="gram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3FC74B0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phi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cung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dữ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...;</w:t>
      </w:r>
    </w:p>
    <w:p w14:paraId="5B972A81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thỏa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3.1.</w:t>
      </w:r>
    </w:p>
    <w:p w14:paraId="51468F92" w14:textId="77777777" w:rsidR="007D7010" w:rsidRPr="007D7010" w:rsidRDefault="007D7010" w:rsidP="007D701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2" w:name="loai_4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NỘI DUNG TIÊU CHUẨN</w:t>
      </w:r>
      <w:bookmarkEnd w:id="12"/>
    </w:p>
    <w:p w14:paraId="1AFEC5C8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5. 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3AF65928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17C722A9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4D8959AD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);</w:t>
      </w:r>
    </w:p>
    <w:p w14:paraId="2942291A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A2F8975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vọng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3CB9447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vọng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môi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đoái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,..</w:t>
      </w:r>
      <w:proofErr w:type="gram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môi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2A855A5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nêu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3.1;</w:t>
      </w:r>
    </w:p>
    <w:p w14:paraId="58E7506F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D059F32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6.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BB91815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rõ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phi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6DDAC15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phi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thuộc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,...</w:t>
      </w:r>
      <w:proofErr w:type="gramEnd"/>
    </w:p>
    <w:p w14:paraId="211F5BED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4B1652B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26FF22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vọng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khoa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cạnh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... 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0BA87F95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5A333551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gắn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79915B7C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tòa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586F95F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vọng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gắn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4BD7F59F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khoa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khoa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36F6C202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thống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kê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thọ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nhóm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337D9A1F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48E7777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thuốc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thuốc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05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nay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thuốc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bệnh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03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03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88A1921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4F2B51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lựa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E19423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lastRenderedPageBreak/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,...</w:t>
      </w:r>
      <w:proofErr w:type="gramEnd"/>
    </w:p>
    <w:p w14:paraId="5A0E072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9.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</w:p>
    <w:p w14:paraId="6736496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9.1.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28AAB828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sánh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86791CD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Lựa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sánh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785132F2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5E1C6712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chuyển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02AB12C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Lĩnh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77FD269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45BDC905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1CD599B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976AD3D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03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sánh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02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8E0D9F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9.2.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1517E78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118E78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xảy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375F6B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giữa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sánh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F867C7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9.3.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05617444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chuyển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06B60D6D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12DD555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9.4.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65DE357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10.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</w:p>
    <w:p w14:paraId="7AE742B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10.1.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14F6621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giống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mẫu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B1D9B1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=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) - Hao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lũy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+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</w:p>
    <w:p w14:paraId="49D49F6C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sánh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CF4BDAF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lastRenderedPageBreak/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41DDF67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10.2.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v.v.),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91063F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10.3.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</w:p>
    <w:p w14:paraId="24D6A8C9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a) Hao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5A15DC24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Hao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Hao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hầu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3AB48F7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Hao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xảy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môi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D1AF72F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Hao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ban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dù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vẫn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E899C8A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Hao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tồn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sánh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trung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vai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trò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0474B81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b)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4A284098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0542F1EC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Chênh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lệch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):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chênh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lệch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giữa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4479F68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Chênh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lệch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chênh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lệch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giữa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suốt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ABB4D37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chênh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lệch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E8E41A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6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12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33,33% (=6</w:t>
      </w:r>
      <w:proofErr w:type="gram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/(</w:t>
      </w:r>
      <w:proofErr w:type="gramEnd"/>
      <w:r w:rsidRPr="007D7010">
        <w:rPr>
          <w:rFonts w:ascii="Arial" w:eastAsia="Times New Roman" w:hAnsi="Arial" w:cs="Arial"/>
          <w:color w:val="000000"/>
          <w:sz w:val="20"/>
          <w:szCs w:val="20"/>
        </w:rPr>
        <w:t>12+6) x 100 %=6/18 x 100 %).</w:t>
      </w:r>
    </w:p>
    <w:p w14:paraId="327A45B7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10.4.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</w:p>
    <w:p w14:paraId="17D15C6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a)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55D32DAA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18BC6D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=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lũy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+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</w:p>
    <w:p w14:paraId="0A574DF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b)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5257CBBC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D2FC98F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D5439C1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c)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233893E8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- 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phi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C8EE93F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buộc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14:paraId="2196F80C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thiệt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,...</w:t>
      </w:r>
      <w:proofErr w:type="gramEnd"/>
    </w:p>
    <w:p w14:paraId="37B695E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2A101C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10.5.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</w:p>
    <w:p w14:paraId="25CE00B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a)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AFF3D95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CEA5EAF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=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lũy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+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</w:p>
    <w:p w14:paraId="263F4C99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56A4812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b)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395BC71C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10F25E95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D2332B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c)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0A5CDC31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777EB24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14:paraId="3E84856A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trang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CFF1C54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1EEC72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05A770A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10.6.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Nam.</w:t>
      </w:r>
    </w:p>
    <w:p w14:paraId="49956EA2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11.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</w:p>
    <w:p w14:paraId="04C218F1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11.1.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25439218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kiệm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C487391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vượt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2865B2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11.2.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</w:p>
    <w:p w14:paraId="2763494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6FECA2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lastRenderedPageBreak/>
        <w:t>Ví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máy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nâng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nâng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79D740A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tùy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E79568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11.3.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</w:p>
    <w:p w14:paraId="5FF89FE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rủi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01A4EB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trung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C4B4D8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(WACC) (do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đựng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rủi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thấp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(IRR).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Riêng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nhắc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(WACC)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FE9F59C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11.4.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</w:p>
    <w:p w14:paraId="6D8012BF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a)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55C289D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B8EF95C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đặt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kiệm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7010E98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lai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kiệm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14:paraId="5E99C4B1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hỗ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bỏ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khỏi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C1BB495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b)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5DEBA2C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33CF8BCC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+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nhờ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chuyển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3C32E81A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+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sẵn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sàng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7FF02D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bỏ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nâng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soát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thúc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D1DB4D2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7AEC2A4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c)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66DEC1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205FD87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bồi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thiệt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chấp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ADBE41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0CAC54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11.5.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vượt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trội</w:t>
      </w:r>
      <w:proofErr w:type="spellEnd"/>
    </w:p>
    <w:p w14:paraId="3DFE72E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a)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58BFB4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vượt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chênh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lệch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giữa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6331B45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vượt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chênh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lệch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vượt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1AA0F6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b)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41E3E2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nhắc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vượt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77446165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vọng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kiệm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lai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559551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lai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F22B89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c)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120F384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kiệm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CEF4FC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3D3E6B9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11.6.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</w:p>
    <w:p w14:paraId="63471CD9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a)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3A2AA24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0A0316C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6C94B57A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vọng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khỏi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vọng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gọi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14:paraId="200300D5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bù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đắp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2E43BA6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1: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7753D9A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6D12D9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3: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1CEB89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vọng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28B942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lastRenderedPageBreak/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FBF713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b)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1E671BA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nhắc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749DADD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gắn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6021E8F7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gắn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0FF334DC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chuyển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003F8955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0843834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c)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0B6CF0D2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Khi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nhóm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D5F668D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FEE2D4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11.7.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thống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Nam.</w:t>
      </w:r>
    </w:p>
    <w:p w14:paraId="6F4ADE2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63A0372" w14:textId="77777777" w:rsidR="007D7010" w:rsidRPr="007D7010" w:rsidRDefault="007D7010" w:rsidP="007D701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3" w:name="loai_5"/>
      <w:r w:rsidRPr="007D7010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</w:t>
      </w:r>
      <w:bookmarkEnd w:id="13"/>
    </w:p>
    <w:p w14:paraId="1AA2EE94" w14:textId="77777777" w:rsidR="007D7010" w:rsidRPr="007D7010" w:rsidRDefault="007D7010" w:rsidP="007D701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4" w:name="loai_5_name"/>
      <w:r w:rsidRPr="007D7010">
        <w:rPr>
          <w:rFonts w:ascii="Arial" w:eastAsia="Times New Roman" w:hAnsi="Arial" w:cs="Arial"/>
          <w:color w:val="000000"/>
          <w:sz w:val="20"/>
          <w:szCs w:val="20"/>
        </w:rPr>
        <w:t>VÍ DỤ VỀ ÁP DỤNG PHƯƠNG PHÁP THẨM ĐỊNH GIÁ TÀI SẢN VÔ HÌNH</w:t>
      </w:r>
      <w:r w:rsidRPr="007D7010">
        <w:rPr>
          <w:rFonts w:ascii="Arial" w:eastAsia="Times New Roman" w:hAnsi="Arial" w:cs="Arial"/>
          <w:color w:val="000000"/>
          <w:sz w:val="20"/>
          <w:szCs w:val="20"/>
        </w:rPr>
        <w:br/>
      </w:r>
      <w:bookmarkEnd w:id="14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Kèm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tiêu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chuẩn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13 - TĐGVN 13)</w:t>
      </w:r>
    </w:p>
    <w:p w14:paraId="77A7662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họa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6C06BD75" w14:textId="77777777" w:rsidR="007D7010" w:rsidRPr="007D7010" w:rsidRDefault="007D7010" w:rsidP="007D701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5" w:name="dieu_1_1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phí</w:t>
      </w:r>
      <w:bookmarkEnd w:id="15"/>
      <w:proofErr w:type="spellEnd"/>
    </w:p>
    <w:p w14:paraId="599F22DF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riêng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1VS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2/2009.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2/2011,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thuê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1VS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X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thuê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thù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X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909981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2011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101D2E82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A:</w:t>
      </w:r>
    </w:p>
    <w:p w14:paraId="4A8DFDE1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300.000.000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451739C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tùy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thuê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...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A): 700.000.000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3CCFD78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...): 300.000.000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A24973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,...</w:t>
      </w:r>
      <w:proofErr w:type="gram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): 200.000.000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8CB1DA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vọng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 20%.</w:t>
      </w:r>
    </w:p>
    <w:p w14:paraId="433CB03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0A40D1BA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>120% x (300.000.000+700.000.000+300.000.000+200.000.000) = 1.800.000.000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73BA7255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Sau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X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52C115B2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+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dữ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xuyên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46A4061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+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vẫn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phổ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B34A69A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+ Hao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DE821D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2011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1.800.000.000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1,8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14:paraId="4D67CC7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DN =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mềm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= 1,8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- 0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= 1,8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14:paraId="221AC486" w14:textId="77777777" w:rsidR="007D7010" w:rsidRPr="007D7010" w:rsidRDefault="007D7010" w:rsidP="007D701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6" w:name="dieu_2_1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2.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vượt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trội</w:t>
      </w:r>
      <w:bookmarkEnd w:id="16"/>
      <w:proofErr w:type="spellEnd"/>
    </w:p>
    <w:p w14:paraId="77F2085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kiểu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ưa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chuộng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Vina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Anpha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B37E72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4AAA7C88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07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2006;</w:t>
      </w:r>
    </w:p>
    <w:p w14:paraId="0978594F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Vina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Anpha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25% so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906CE64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17%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cộng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ngành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16%/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rủi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kiểu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1%.</w:t>
      </w:r>
    </w:p>
    <w:p w14:paraId="4528AFFD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7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Vina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Anpha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44F458B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>(ĐVT: 1000đ)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921"/>
        <w:gridCol w:w="2211"/>
        <w:gridCol w:w="1524"/>
        <w:gridCol w:w="1893"/>
      </w:tblGrid>
      <w:tr w:rsidR="007D7010" w:rsidRPr="007D7010" w14:paraId="03535538" w14:textId="77777777" w:rsidTr="007D7010">
        <w:trPr>
          <w:trHeight w:val="20"/>
          <w:tblCellSpacing w:w="0" w:type="dxa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FB920F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1F2AC9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Lợi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nhuận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thuế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trong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trường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hợp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sử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dụng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bao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bì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B912B2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Lợi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nhuận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thuế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thêm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sử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dụng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bao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bì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0F20EA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Hệ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chiết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khấu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6E7A37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Giá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trị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tại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thời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điểm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thẩm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định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giá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2006</w:t>
            </w:r>
          </w:p>
        </w:tc>
      </w:tr>
      <w:tr w:rsidR="007D7010" w:rsidRPr="007D7010" w14:paraId="5446C187" w14:textId="77777777" w:rsidTr="007D7010">
        <w:trPr>
          <w:trHeight w:val="20"/>
          <w:tblCellSpacing w:w="0" w:type="dxa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F8F287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7CECD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964BF2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12.500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EC4EF8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0,8547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9E419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10.684</w:t>
            </w:r>
          </w:p>
        </w:tc>
      </w:tr>
      <w:tr w:rsidR="007D7010" w:rsidRPr="007D7010" w14:paraId="6A47C700" w14:textId="77777777" w:rsidTr="007D7010">
        <w:trPr>
          <w:trHeight w:val="20"/>
          <w:tblCellSpacing w:w="0" w:type="dxa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7B2E10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A2E35E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F978E6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25.000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9FCAAC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0,7305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2F0E63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18.263</w:t>
            </w:r>
          </w:p>
        </w:tc>
      </w:tr>
      <w:tr w:rsidR="007D7010" w:rsidRPr="007D7010" w14:paraId="7ADEBBD5" w14:textId="77777777" w:rsidTr="007D7010">
        <w:trPr>
          <w:trHeight w:val="20"/>
          <w:tblCellSpacing w:w="0" w:type="dxa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AA3F70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508FDE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AC0BDE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5023C9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0,6244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798B38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31.219</w:t>
            </w:r>
          </w:p>
        </w:tc>
      </w:tr>
      <w:tr w:rsidR="007D7010" w:rsidRPr="007D7010" w14:paraId="3B3F2F0E" w14:textId="77777777" w:rsidTr="007D7010">
        <w:trPr>
          <w:trHeight w:val="20"/>
          <w:tblCellSpacing w:w="0" w:type="dxa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D8C813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8057BF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B301DF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75.000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5B866D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0,5337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40E93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40.024</w:t>
            </w:r>
          </w:p>
        </w:tc>
      </w:tr>
      <w:tr w:rsidR="007D7010" w:rsidRPr="007D7010" w14:paraId="48A5F0F4" w14:textId="77777777" w:rsidTr="007D7010">
        <w:trPr>
          <w:trHeight w:val="20"/>
          <w:tblCellSpacing w:w="0" w:type="dxa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FD0AA6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8E3E9F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053C11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DE5501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0,4561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6FF8BB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45.611</w:t>
            </w:r>
          </w:p>
        </w:tc>
      </w:tr>
      <w:tr w:rsidR="007D7010" w:rsidRPr="007D7010" w14:paraId="4D1D366B" w14:textId="77777777" w:rsidTr="007D7010">
        <w:trPr>
          <w:trHeight w:val="20"/>
          <w:tblCellSpacing w:w="0" w:type="dxa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19A45F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C3A148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0F400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125.000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17B2D8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0,3898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34D6B1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48.730</w:t>
            </w:r>
          </w:p>
        </w:tc>
      </w:tr>
      <w:tr w:rsidR="007D7010" w:rsidRPr="007D7010" w14:paraId="4A1E4F1E" w14:textId="77777777" w:rsidTr="007D7010">
        <w:trPr>
          <w:trHeight w:val="20"/>
          <w:tblCellSpacing w:w="0" w:type="dxa"/>
        </w:trPr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BD72EC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EEAF96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550.000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D2DE0A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137.000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9D0996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0,3332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85A52B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45.814</w:t>
            </w:r>
          </w:p>
        </w:tc>
      </w:tr>
      <w:tr w:rsidR="007D7010" w:rsidRPr="007D7010" w14:paraId="7A7C9C64" w14:textId="77777777" w:rsidTr="007D7010">
        <w:trPr>
          <w:trHeight w:val="20"/>
          <w:tblCellSpacing w:w="0" w:type="dxa"/>
        </w:trPr>
        <w:tc>
          <w:tcPr>
            <w:tcW w:w="69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CE0C57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Tổng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BC224D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240.344</w:t>
            </w:r>
          </w:p>
        </w:tc>
      </w:tr>
    </w:tbl>
    <w:p w14:paraId="19889FE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chú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(1)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= 1, 2, 3 ...7)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296BA9F4" w14:textId="0569AA15" w:rsidR="007D7010" w:rsidRPr="007D7010" w:rsidRDefault="007D7010" w:rsidP="007D701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Hệ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= </w:t>
      </w:r>
      <w:r w:rsidRPr="007D7010">
        <w:rPr>
          <w:rFonts w:ascii="Arial" w:eastAsia="Times New Roman" w:hAnsi="Arial" w:cs="Arial"/>
          <w:i/>
          <w:iCs/>
          <w:noProof/>
          <w:color w:val="000000"/>
          <w:sz w:val="20"/>
          <w:szCs w:val="20"/>
        </w:rPr>
        <w:drawing>
          <wp:inline distT="0" distB="0" distL="0" distR="0" wp14:anchorId="75C25DEE" wp14:editId="26076991">
            <wp:extent cx="624840" cy="4267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3B63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hữu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tuệ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Vina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Anpha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240.300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nghìn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hay 240,3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652BEF0" w14:textId="77777777" w:rsidR="007D7010" w:rsidRPr="007D7010" w:rsidRDefault="007D7010" w:rsidP="007D701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7" w:name="dieu_3_1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3.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Ví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dụ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về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phương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pháp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nhập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thêm</w:t>
      </w:r>
      <w:bookmarkEnd w:id="17"/>
      <w:proofErr w:type="spellEnd"/>
    </w:p>
    <w:p w14:paraId="0F73DE4C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du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tour du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tour du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lĩnh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B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4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2012.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lâu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lĩnh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đặt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4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tưởng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Sau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2014),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hỗ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cung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nghỉ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B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thỏa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ban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ty.</w:t>
      </w:r>
    </w:p>
    <w:p w14:paraId="6B23CCA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du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thuê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X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2012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phục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76FABC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Sau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thập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cung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vọng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X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721D4A8D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4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gọi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tắt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01/2014.</w:t>
      </w:r>
    </w:p>
    <w:p w14:paraId="68C206F2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khoảng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100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trống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40%.</w:t>
      </w:r>
    </w:p>
    <w:p w14:paraId="76915857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lựa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10%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14:paraId="40F6E70F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du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3.000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du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B0B023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4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2014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1.700.000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đêm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trung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9%/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05FE02D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vọng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duy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cạnh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thủ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lai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927F80A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- Qua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X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4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25%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;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(WACC)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12%.</w:t>
      </w:r>
    </w:p>
    <w:p w14:paraId="5D635B5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X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47B506C8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4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Đảo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100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</w:p>
    <w:p w14:paraId="06D1F42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trống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 40%</w:t>
      </w:r>
    </w:p>
    <w:p w14:paraId="3F8F8F26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trung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21.900 (= 100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x 60% x 365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đêm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017373A2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du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trực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đem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3.000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</w:p>
    <w:p w14:paraId="4527C4A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du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đem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21AEFF80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10% x (21.900 - 3.000) + 3.000 = 4.890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</w:p>
    <w:p w14:paraId="518C9A7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lastRenderedPageBreak/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1700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ngàn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/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đêm</w:t>
      </w:r>
      <w:proofErr w:type="spellEnd"/>
    </w:p>
    <w:p w14:paraId="1A0F3761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Tốc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A: 9%/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</w:p>
    <w:p w14:paraId="54CC3DC8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 25%</w:t>
      </w:r>
    </w:p>
    <w:p w14:paraId="3A6B0EAD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14% (= WACC +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rủi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381EE7B4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X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lệ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rủi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nhãn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(WACC)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2%.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 12% + 2% = 14%.</w:t>
      </w:r>
    </w:p>
    <w:p w14:paraId="14ABAA9A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18BC90FE" w14:textId="1E573E01" w:rsidR="007D7010" w:rsidRPr="007D7010" w:rsidRDefault="007D7010" w:rsidP="007D701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3C9A705E" wp14:editId="1ABB4BCA">
            <wp:extent cx="8839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318D9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18ACF5A1" w14:textId="77777777" w:rsidR="007D7010" w:rsidRPr="007D7010" w:rsidRDefault="007D7010" w:rsidP="007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 w:type="textWrapping" w:clear="all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170"/>
        <w:gridCol w:w="1075"/>
        <w:gridCol w:w="1077"/>
        <w:gridCol w:w="1071"/>
        <w:gridCol w:w="1175"/>
        <w:gridCol w:w="1178"/>
        <w:gridCol w:w="1174"/>
      </w:tblGrid>
      <w:tr w:rsidR="007D7010" w:rsidRPr="007D7010" w14:paraId="00D94902" w14:textId="77777777" w:rsidTr="007D7010">
        <w:trPr>
          <w:trHeight w:val="20"/>
          <w:tblCellSpacing w:w="0" w:type="dxa"/>
        </w:trPr>
        <w:tc>
          <w:tcPr>
            <w:tcW w:w="4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57EF30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E7FEC23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92E38B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30036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FF0080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C2FAEE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213A6D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CB49C1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D7010" w:rsidRPr="007D7010" w14:paraId="64A01FB6" w14:textId="77777777" w:rsidTr="007D7010">
        <w:trPr>
          <w:trHeight w:val="20"/>
          <w:tblCellSpacing w:w="0" w:type="dxa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D287AD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lượt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khách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thêm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nhãn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hiệu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ty du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lịch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giới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thiệu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khách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Đêm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) (1)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ABC94B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563898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C6086B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3DCB9B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B8F83D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180A76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562396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</w:tr>
      <w:tr w:rsidR="007D7010" w:rsidRPr="007D7010" w14:paraId="55063684" w14:textId="77777777" w:rsidTr="007D7010">
        <w:trPr>
          <w:trHeight w:val="20"/>
          <w:tblCellSpacing w:w="0" w:type="dxa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ED6A5F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Doanh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lượt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khách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thêm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ngàn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) (2)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16B5DF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4C137D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8.313.000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94765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9.061.170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8C5F2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9.876.675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2AADC2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10.765.576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58E8D6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11.734.478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E908E0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12.790.581</w:t>
            </w:r>
          </w:p>
        </w:tc>
      </w:tr>
      <w:tr w:rsidR="007D7010" w:rsidRPr="007D7010" w14:paraId="4013411E" w14:textId="77777777" w:rsidTr="007D7010">
        <w:trPr>
          <w:trHeight w:val="20"/>
          <w:tblCellSpacing w:w="0" w:type="dxa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66482F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Phần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lợi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nhuận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ròng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thêm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liên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quan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tới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nhãn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hiệu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(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ngàn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) (3)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EC11EE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78D60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2.078.250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B72959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2.265.293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BA29A0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2.469.169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6DBC759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2.691.394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7B94A5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2.933.619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026CC2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3.197.645</w:t>
            </w:r>
          </w:p>
        </w:tc>
      </w:tr>
      <w:tr w:rsidR="007D7010" w:rsidRPr="007D7010" w14:paraId="74467A05" w14:textId="77777777" w:rsidTr="007D7010">
        <w:trPr>
          <w:trHeight w:val="20"/>
          <w:tblCellSpacing w:w="0" w:type="dxa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B5F24B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Giá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trị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hiện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tại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ròng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của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phần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lợi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nhuận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ròng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thêm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liên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quan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tới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nhãn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hiệu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với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tỷ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suất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chiết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khấu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14% </w:t>
            </w: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ngàn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) (4)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1CEB49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7B004C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1.823.026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C746F8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1.743.069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4FA4606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1.666.619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5D3B49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1.593.521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B8279A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1.523.630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D40EBF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1.456.804</w:t>
            </w:r>
          </w:p>
        </w:tc>
      </w:tr>
      <w:tr w:rsidR="007D7010" w:rsidRPr="007D7010" w14:paraId="32848121" w14:textId="77777777" w:rsidTr="007D7010">
        <w:trPr>
          <w:trHeight w:val="20"/>
          <w:tblCellSpacing w:w="0" w:type="dxa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EC3FA57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Giá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trị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hiện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tại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của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dòng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tiền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vào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đầu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năm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2014 (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ngàn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67C46E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24.615.351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E78E38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47E785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897F61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E89091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FEFB37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6F86696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05A938D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1149"/>
        <w:gridCol w:w="1154"/>
        <w:gridCol w:w="1155"/>
        <w:gridCol w:w="1152"/>
        <w:gridCol w:w="1162"/>
        <w:gridCol w:w="1164"/>
        <w:gridCol w:w="1172"/>
      </w:tblGrid>
      <w:tr w:rsidR="007D7010" w:rsidRPr="007D7010" w14:paraId="1AE5CD2D" w14:textId="77777777" w:rsidTr="007D7010">
        <w:trPr>
          <w:trHeight w:val="20"/>
          <w:tblCellSpacing w:w="0" w:type="dxa"/>
        </w:trPr>
        <w:tc>
          <w:tcPr>
            <w:tcW w:w="4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DB436A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B62660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EB2E28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5682FC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EBB7D8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F89916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159CA3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26E32C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7D7010" w:rsidRPr="007D7010" w14:paraId="3D1D9047" w14:textId="77777777" w:rsidTr="007D7010">
        <w:trPr>
          <w:trHeight w:val="20"/>
          <w:tblCellSpacing w:w="0" w:type="dxa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FD080B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lượt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khách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thêm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nhãn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hiệu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ty du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lịch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giới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thiệu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khách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Đêm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) (1)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2A7FE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7904E8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4BDD8CD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3303DF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283BDB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8D2318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87FDBA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</w:tr>
      <w:tr w:rsidR="007D7010" w:rsidRPr="007D7010" w14:paraId="6280AEE5" w14:textId="77777777" w:rsidTr="007D7010">
        <w:trPr>
          <w:trHeight w:val="20"/>
          <w:tblCellSpacing w:w="0" w:type="dxa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34C71D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Doanh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lượt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khách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thêm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ngàn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) (2)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C77CC7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13.941.733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90A9E95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15.196.489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728E21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16.564.173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C32CDA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18.054.949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9C8F1E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19.679.894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2B6FA2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21.451.085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66456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23.381.682</w:t>
            </w:r>
          </w:p>
        </w:tc>
      </w:tr>
      <w:tr w:rsidR="007D7010" w:rsidRPr="007D7010" w14:paraId="7A12B426" w14:textId="77777777" w:rsidTr="007D7010">
        <w:trPr>
          <w:trHeight w:val="20"/>
          <w:tblCellSpacing w:w="0" w:type="dxa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C26F6A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Phần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lợi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nhuận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ròng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thêm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liên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quan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tới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nhãn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hiệu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(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ngàn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) (3)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3928C0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3.485.433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DD0F50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3.799.122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A1476D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4.141.043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3E18DC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4.513.737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4C77ED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4.919.974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A1AE4C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5.362.771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A83C00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5.845.421</w:t>
            </w:r>
          </w:p>
        </w:tc>
      </w:tr>
      <w:tr w:rsidR="007D7010" w:rsidRPr="007D7010" w14:paraId="4ED3D2CA" w14:textId="77777777" w:rsidTr="007D7010">
        <w:trPr>
          <w:trHeight w:val="20"/>
          <w:tblCellSpacing w:w="0" w:type="dxa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960214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Giá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trị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hiện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tại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ròng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của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phần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lợi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nhuận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ròng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thêm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liên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quan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tới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nhãn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hiệu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với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tỷ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suất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chiết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khấu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14% (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ngàn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) (4)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DA7EE0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1.392.909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422767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1.331.817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EE4D97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1.273.404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239C61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1.217.553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331F4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1.164.151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432801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1.113.092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627FF6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1.064.272</w:t>
            </w:r>
          </w:p>
        </w:tc>
      </w:tr>
      <w:tr w:rsidR="007D7010" w:rsidRPr="007D7010" w14:paraId="0B5ED20F" w14:textId="77777777" w:rsidTr="007D7010">
        <w:trPr>
          <w:trHeight w:val="20"/>
          <w:tblCellSpacing w:w="0" w:type="dxa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4A61BB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Giá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trị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hiện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tại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của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dòng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tiền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vào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đầu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năm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2014 (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ngàn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940E50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F5E28F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017D71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360456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511823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179ADE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9D15EC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FAD3C5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165"/>
        <w:gridCol w:w="1154"/>
        <w:gridCol w:w="1155"/>
        <w:gridCol w:w="1152"/>
        <w:gridCol w:w="1162"/>
        <w:gridCol w:w="1164"/>
        <w:gridCol w:w="1172"/>
      </w:tblGrid>
      <w:tr w:rsidR="007D7010" w:rsidRPr="007D7010" w14:paraId="71DF902A" w14:textId="77777777" w:rsidTr="007D7010">
        <w:trPr>
          <w:trHeight w:val="20"/>
          <w:tblCellSpacing w:w="0" w:type="dxa"/>
        </w:trPr>
        <w:tc>
          <w:tcPr>
            <w:tcW w:w="4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F022CE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740CD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1D129B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5FAC3B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5F513D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BC6A19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3F3239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769930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7D7010" w:rsidRPr="007D7010" w14:paraId="2AE1694B" w14:textId="77777777" w:rsidTr="007D7010">
        <w:trPr>
          <w:trHeight w:val="20"/>
          <w:tblCellSpacing w:w="0" w:type="dxa"/>
        </w:trPr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AA9146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lượt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khách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thêm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nhãn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hiệu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công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ty du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lịch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giới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thiệu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khách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Đêm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) (1)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93E13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335943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F44338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C39A21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FCB535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C0AE8F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F58AFB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4.890</w:t>
            </w:r>
          </w:p>
        </w:tc>
      </w:tr>
      <w:tr w:rsidR="007D7010" w:rsidRPr="007D7010" w14:paraId="4D5E14AD" w14:textId="77777777" w:rsidTr="007D7010">
        <w:trPr>
          <w:trHeight w:val="20"/>
          <w:tblCellSpacing w:w="0" w:type="dxa"/>
        </w:trPr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4913F3C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Doanh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lượt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khách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thêm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ngàn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) (2)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33A43B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25.486.034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30578F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27.779.777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9BC0A0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30.279.957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396C08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33.005.153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F22156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35.975.617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F59D16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39.213.422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981B5A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42.742.630</w:t>
            </w:r>
          </w:p>
        </w:tc>
      </w:tr>
      <w:tr w:rsidR="007D7010" w:rsidRPr="007D7010" w14:paraId="1BD449C1" w14:textId="77777777" w:rsidTr="007D7010">
        <w:trPr>
          <w:trHeight w:val="20"/>
          <w:tblCellSpacing w:w="0" w:type="dxa"/>
        </w:trPr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4C078B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Phần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lợi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nhuận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ròng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thêm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liên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quan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tới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nhãn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hiệu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(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ngàn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) (3)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CA190A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6.371.508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2F81A7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6.944.944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8DC886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7.569.989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5282E3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8.251.288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741FDF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8.993.904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F78CF1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9.803.356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E6FF13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10.685.658</w:t>
            </w:r>
          </w:p>
        </w:tc>
      </w:tr>
      <w:tr w:rsidR="007D7010" w:rsidRPr="007D7010" w14:paraId="39FF3662" w14:textId="77777777" w:rsidTr="007D7010">
        <w:trPr>
          <w:trHeight w:val="20"/>
          <w:tblCellSpacing w:w="0" w:type="dxa"/>
        </w:trPr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1E4063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Giá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trị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hiện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tại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ròng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của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phần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lợi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nhuận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ròng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tăng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thêm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liên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quan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tới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nhãn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hiệu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với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tỷ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suất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chiết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khấu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14% (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ngàn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) (4)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98F68C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1.017.594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3737DE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972.962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6725C8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930.288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210CDF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889.486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F7AF16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850.474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04C44C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813.172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EB614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777.507</w:t>
            </w:r>
          </w:p>
        </w:tc>
      </w:tr>
      <w:tr w:rsidR="007D7010" w:rsidRPr="007D7010" w14:paraId="59540FA2" w14:textId="77777777" w:rsidTr="007D7010">
        <w:trPr>
          <w:trHeight w:val="20"/>
          <w:tblCellSpacing w:w="0" w:type="dxa"/>
        </w:trPr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D62EC9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Giá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trị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hiện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tại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của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dòng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tiền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vào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đầu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năm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2014 (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ngàn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CD9F0C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5B7AE1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85FCAF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3B6B4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8ED132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FC20B4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7F57B2" w14:textId="77777777" w:rsidR="007D7010" w:rsidRPr="007D7010" w:rsidRDefault="007D7010" w:rsidP="007D70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8E8926C" w14:textId="77777777" w:rsidR="007D7010" w:rsidRPr="007D7010" w:rsidRDefault="007D7010" w:rsidP="007D7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 w:type="textWrapping" w:clear="all"/>
      </w:r>
    </w:p>
    <w:p w14:paraId="5D45E12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*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5CDC27B4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(2) =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(1) x 1700 x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Tốc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9%/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4EC129D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ròng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(3) = 25% x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lượt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(2).</w:t>
      </w:r>
    </w:p>
    <w:p w14:paraId="6F92CBED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sắp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:</w:t>
      </w:r>
      <w:proofErr w:type="gram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24.615.351 (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ngàn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0,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2014</w:t>
      </w:r>
    </w:p>
    <w:p w14:paraId="6DA63A75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sắp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2012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 24.615.351</w:t>
      </w:r>
      <w:proofErr w:type="gram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/(</w:t>
      </w:r>
      <w:proofErr w:type="gram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1+0.14) x 2 = 18.940.713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ngàn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</w:p>
    <w:p w14:paraId="1D1D81FB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B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ý chia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50%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nhuận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du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tròn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: 9.470.357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ngàn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0104E2E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*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Phân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nhậy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1279"/>
        <w:gridCol w:w="1294"/>
        <w:gridCol w:w="1152"/>
        <w:gridCol w:w="1172"/>
        <w:gridCol w:w="1219"/>
      </w:tblGrid>
      <w:tr w:rsidR="007D7010" w:rsidRPr="007D7010" w14:paraId="3DB4A5C9" w14:textId="77777777" w:rsidTr="007D7010">
        <w:trPr>
          <w:trHeight w:val="20"/>
          <w:tblCellSpacing w:w="0" w:type="dxa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9405F0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Các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giá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trị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của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tỷ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suất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chiết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khấu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B4B01D" w14:textId="77777777" w:rsidR="007D7010" w:rsidRPr="007D7010" w:rsidRDefault="007D7010" w:rsidP="007D701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D51FE6" w14:textId="77777777" w:rsidR="007D7010" w:rsidRPr="007D7010" w:rsidRDefault="007D7010" w:rsidP="007D701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35B2D0" w14:textId="77777777" w:rsidR="007D7010" w:rsidRPr="007D7010" w:rsidRDefault="007D7010" w:rsidP="007D701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19C3EE" w14:textId="77777777" w:rsidR="007D7010" w:rsidRPr="007D7010" w:rsidRDefault="007D7010" w:rsidP="007D701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7E70A7" w14:textId="77777777" w:rsidR="007D7010" w:rsidRPr="007D7010" w:rsidRDefault="007D7010" w:rsidP="007D701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16%</w:t>
            </w:r>
          </w:p>
        </w:tc>
      </w:tr>
      <w:tr w:rsidR="007D7010" w:rsidRPr="007D7010" w14:paraId="75D0BC62" w14:textId="77777777" w:rsidTr="007D7010">
        <w:trPr>
          <w:trHeight w:val="20"/>
          <w:tblCellSpacing w:w="0" w:type="dxa"/>
        </w:trPr>
        <w:tc>
          <w:tcPr>
            <w:tcW w:w="2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48F83E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Giá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trị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góp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vốn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của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thương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hiệu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(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ngàn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đồng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) (6)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6855C3" w14:textId="77777777" w:rsidR="007D7010" w:rsidRPr="007D7010" w:rsidRDefault="007D7010" w:rsidP="007D701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11.570.009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AF019D" w14:textId="77777777" w:rsidR="007D7010" w:rsidRPr="007D7010" w:rsidRDefault="007D7010" w:rsidP="007D701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10.449.769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DDD3D5" w14:textId="77777777" w:rsidR="007D7010" w:rsidRPr="007D7010" w:rsidRDefault="007D7010" w:rsidP="007D701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9.470.357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144628" w14:textId="77777777" w:rsidR="007D7010" w:rsidRPr="007D7010" w:rsidRDefault="007D7010" w:rsidP="007D701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8.611.170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D433B6" w14:textId="77777777" w:rsidR="007D7010" w:rsidRPr="007D7010" w:rsidRDefault="007D7010" w:rsidP="007D701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7.854.939</w:t>
            </w:r>
          </w:p>
        </w:tc>
      </w:tr>
      <w:tr w:rsidR="007D7010" w:rsidRPr="007D7010" w14:paraId="6F7894AD" w14:textId="77777777" w:rsidTr="007D7010">
        <w:trPr>
          <w:trHeight w:val="20"/>
          <w:tblCellSpacing w:w="0" w:type="dxa"/>
        </w:trPr>
        <w:tc>
          <w:tcPr>
            <w:tcW w:w="2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D7F1B0" w14:textId="77777777" w:rsidR="007D7010" w:rsidRPr="007D7010" w:rsidRDefault="007D7010" w:rsidP="007D701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Mức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độ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thay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đổi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Giá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trị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(6)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khi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thay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đổi</w:t>
            </w:r>
            <w:proofErr w:type="spellEnd"/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5FD0F7" w14:textId="77777777" w:rsidR="007D7010" w:rsidRPr="007D7010" w:rsidRDefault="007D7010" w:rsidP="007D701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E08060" w14:textId="77777777" w:rsidR="007D7010" w:rsidRPr="007D7010" w:rsidRDefault="007D7010" w:rsidP="007D701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A9CB66" w14:textId="77777777" w:rsidR="007D7010" w:rsidRPr="007D7010" w:rsidRDefault="007D7010" w:rsidP="007D701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ECF0E1" w14:textId="77777777" w:rsidR="007D7010" w:rsidRPr="007D7010" w:rsidRDefault="007D7010" w:rsidP="007D701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-9%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E1C614" w14:textId="77777777" w:rsidR="007D7010" w:rsidRPr="007D7010" w:rsidRDefault="007D7010" w:rsidP="007D701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10">
              <w:rPr>
                <w:rFonts w:ascii="Times New Roman" w:eastAsia="Times New Roman" w:hAnsi="Times New Roman" w:cs="Times New Roman"/>
                <w:sz w:val="20"/>
                <w:szCs w:val="20"/>
              </w:rPr>
              <w:t>-17%</w:t>
            </w:r>
          </w:p>
        </w:tc>
      </w:tr>
    </w:tbl>
    <w:p w14:paraId="7FEC9F83" w14:textId="77777777" w:rsidR="007D7010" w:rsidRPr="007D7010" w:rsidRDefault="007D7010" w:rsidP="007D70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suất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chiết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khấu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1%,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ty A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khách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sạn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D70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7D7010">
        <w:rPr>
          <w:rFonts w:ascii="Arial" w:eastAsia="Times New Roman" w:hAnsi="Arial" w:cs="Arial"/>
          <w:color w:val="000000"/>
          <w:sz w:val="20"/>
          <w:szCs w:val="20"/>
        </w:rPr>
        <w:t xml:space="preserve"> 8% - 12%.</w:t>
      </w:r>
    </w:p>
    <w:p w14:paraId="6CE3DF3C" w14:textId="77777777" w:rsidR="00B47FA2" w:rsidRDefault="00B47FA2"/>
    <w:sectPr w:rsidR="00B4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10"/>
    <w:rsid w:val="007D7010"/>
    <w:rsid w:val="00B4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EE82B"/>
  <w15:chartTrackingRefBased/>
  <w15:docId w15:val="{6EE1E66F-A156-4066-9F41-A259E863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D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7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5447</Words>
  <Characters>31048</Characters>
  <Application>Microsoft Office Word</Application>
  <DocSecurity>0</DocSecurity>
  <Lines>258</Lines>
  <Paragraphs>72</Paragraphs>
  <ScaleCrop>false</ScaleCrop>
  <Company/>
  <LinksUpToDate>false</LinksUpToDate>
  <CharactersWithSpaces>36423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2021-07-08T15:19:00Z</dcterms:created>
  <dcterms:modified xsi:type="dcterms:W3CDTF">2021-07-08T15:20:00Z</dcterms:modified>
</cp:coreProperties>
</file>