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8493"/>
      </w:tblGrid>
      <w:tr w:rsidR="00065BD0" w:rsidRPr="00065BD0" w14:paraId="5FAF7D2B" w14:textId="77777777" w:rsidTr="00065BD0"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B382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BỘ TÀI CHÍNH</w:t>
            </w:r>
          </w:p>
          <w:p w14:paraId="46035ACB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</w:t>
            </w:r>
          </w:p>
          <w:p w14:paraId="09BEEC0D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Số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 28/2021/TT-BTC</w:t>
            </w:r>
          </w:p>
        </w:tc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5B14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4A1CFC7C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550F0261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________________________</w:t>
            </w:r>
          </w:p>
          <w:p w14:paraId="3BDB1B34" w14:textId="4911CC96" w:rsidR="00065BD0" w:rsidRPr="00065BD0" w:rsidRDefault="00065BD0" w:rsidP="00065B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                         </w:t>
            </w:r>
            <w:proofErr w:type="spellStart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Hà</w:t>
            </w:r>
            <w:proofErr w:type="spellEnd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Nội</w:t>
            </w:r>
            <w:proofErr w:type="spellEnd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27 </w:t>
            </w:r>
            <w:proofErr w:type="spellStart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065BD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2021</w:t>
            </w:r>
          </w:p>
        </w:tc>
      </w:tr>
    </w:tbl>
    <w:p w14:paraId="6A61CE4F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453497EC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                                                            </w:t>
      </w:r>
    </w:p>
    <w:p w14:paraId="0DB50FCE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THÔNG TƯ</w:t>
      </w:r>
    </w:p>
    <w:p w14:paraId="762C07DB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Ban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12</w:t>
      </w:r>
    </w:p>
    <w:p w14:paraId="12365B57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_____________</w:t>
      </w:r>
    </w:p>
    <w:p w14:paraId="4A5AD8F8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A427D0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11/2012/QH13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6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2012;</w:t>
      </w:r>
    </w:p>
    <w:p w14:paraId="03C46F8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89/2013/NĐ-CP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06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8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2013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;</w:t>
      </w:r>
    </w:p>
    <w:p w14:paraId="21F882E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12/2021/NĐ-CP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24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2021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sửa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bổ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sung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89/2013/NĐ-CP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06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8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2013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;</w:t>
      </w:r>
    </w:p>
    <w:p w14:paraId="55C2124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150/2020/NĐ-CP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25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12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2020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;</w:t>
      </w:r>
    </w:p>
    <w:p w14:paraId="1145445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87/2017/NĐ-CP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26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07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2017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chức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nhiệm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vụ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tổ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chức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;</w:t>
      </w:r>
    </w:p>
    <w:p w14:paraId="295C20D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Theo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đề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Cục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Cục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Quản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,</w:t>
      </w:r>
    </w:p>
    <w:p w14:paraId="4E6594E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ban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ban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Nam 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 12;</w:t>
      </w:r>
    </w:p>
    <w:p w14:paraId="2A0E3AD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1. 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Ban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kèm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12 -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EF4D4B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2. 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</w:p>
    <w:p w14:paraId="1190BB8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Khi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fldChar w:fldCharType="begin"/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instrText xml:space="preserve"> HYPERLINK "https://luatvietnam.vn/co-cau-to-chuc/nghi-dinh-150-2020-chuyen-don-vi-su-nghiep-cong-lap-thanh-cong-ty-co-phan-196204-d1.html" \t "_blank" </w:instrTex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fldChar w:fldCharType="separate"/>
      </w:r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>Nghị</w:t>
      </w:r>
      <w:proofErr w:type="spellEnd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>định</w:t>
      </w:r>
      <w:proofErr w:type="spellEnd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>số</w:t>
      </w:r>
      <w:proofErr w:type="spellEnd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150/2020/NĐ-CP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fldChar w:fldCharType="end"/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2020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5.5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II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kèm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theo.</w:t>
      </w:r>
      <w:proofErr w:type="spellEnd"/>
    </w:p>
    <w:p w14:paraId="7876340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9B6ED8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3. 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</w:p>
    <w:p w14:paraId="29C3069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7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2021.</w:t>
      </w:r>
    </w:p>
    <w:p w14:paraId="39E1CC8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2. 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fldChar w:fldCharType="begin"/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instrText xml:space="preserve"> HYPERLINK "https://luatvietnam.vn/tai-chinh/thong-tu-122-2017-tt-btc-bo-tai-chinh-157471-d1.html" \t "_blank" </w:instrTex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fldChar w:fldCharType="separate"/>
      </w:r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>Thông</w:t>
      </w:r>
      <w:proofErr w:type="spellEnd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>tư</w:t>
      </w:r>
      <w:proofErr w:type="spellEnd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>số</w:t>
      </w:r>
      <w:proofErr w:type="spellEnd"/>
      <w:r w:rsidRPr="00065BD0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122/2017/TT-BTC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fldChar w:fldCharType="end"/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15/11/2017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670AE9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kèm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BE786C4" w14:textId="77777777" w:rsidR="00065BD0" w:rsidRPr="00065BD0" w:rsidRDefault="00065BD0" w:rsidP="00065BD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4.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sung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./.</w:t>
      </w:r>
    </w:p>
    <w:p w14:paraId="0C29DCDB" w14:textId="77777777" w:rsidR="00065BD0" w:rsidRPr="00065BD0" w:rsidRDefault="00065BD0" w:rsidP="00065BD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2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4058"/>
      </w:tblGrid>
      <w:tr w:rsidR="00065BD0" w:rsidRPr="00065BD0" w14:paraId="49F15D8B" w14:textId="77777777" w:rsidTr="00065BD0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7442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5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14:paraId="551AD261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tướng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tướng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0105BB3E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Văn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phòng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53ECF17E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Văn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phòng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Tổng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Bí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thư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43F962EA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Văn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phòng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tịch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nước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51547EC7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Văn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phòng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Quốc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hội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319074FB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Bộ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cơ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ngang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Bộ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cơ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thuộc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0DE48F1D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Toà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dân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tối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cao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1452FB6B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Viện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Kiểm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sát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dân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tối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cao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4E83EDF8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Kiểm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toán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nhà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nước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364D227A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UBND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tỉnh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thành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phố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trực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thuộc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ương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483084ED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Công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báo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08685370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Cục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Kiểm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văn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Bộ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Tư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2555B346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Phòng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Thương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mại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Công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nghiệp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Việt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Nam;</w:t>
            </w:r>
          </w:p>
          <w:p w14:paraId="63CB581F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Hội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Việt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Nam;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doanh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nghiệp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0B009959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Website 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phủ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31079704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Website 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Bộ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14:paraId="0B394A53" w14:textId="77777777" w:rsidR="00065BD0" w:rsidRPr="00065BD0" w:rsidRDefault="00065BD0" w:rsidP="00065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Lưu</w:t>
            </w:r>
            <w:proofErr w:type="spell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 VT; QLG (</w:t>
            </w:r>
            <w:proofErr w:type="gramStart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VT,TĐG</w:t>
            </w:r>
            <w:proofErr w:type="gramEnd"/>
            <w:r w:rsidRPr="00065BD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0BC6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KT. BỘ TRƯỞNG</w:t>
            </w:r>
          </w:p>
          <w:p w14:paraId="0101788F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THỨ TRƯỞNG</w:t>
            </w:r>
          </w:p>
          <w:p w14:paraId="307AC052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  <w:p w14:paraId="7030D05F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  <w:p w14:paraId="1BB6B5E7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  <w:p w14:paraId="4B6D11A5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  <w:p w14:paraId="324ABFA8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Tạ</w:t>
            </w:r>
            <w:proofErr w:type="spellEnd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Anh </w:t>
            </w:r>
            <w:proofErr w:type="spellStart"/>
            <w:r w:rsidRPr="00065BD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Tuấn</w:t>
            </w:r>
            <w:proofErr w:type="spellEnd"/>
          </w:p>
          <w:p w14:paraId="78A76C44" w14:textId="77777777" w:rsidR="00065BD0" w:rsidRPr="00065BD0" w:rsidRDefault="00065BD0" w:rsidP="0006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5BD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14:paraId="4B9E8C9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C854B3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40A23659" w14:textId="77777777" w:rsidR="00065BD0" w:rsidRPr="00065BD0" w:rsidRDefault="00065BD0" w:rsidP="00065BD0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65BD0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2A0BB9DE" w14:textId="77777777" w:rsidR="00065BD0" w:rsidRPr="00065BD0" w:rsidRDefault="00065BD0" w:rsidP="00065BD0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65BD0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1EE642B5" w14:textId="77777777" w:rsidR="00065BD0" w:rsidRPr="00065BD0" w:rsidRDefault="00065BD0" w:rsidP="00065BD0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65BD0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0299D10E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222222"/>
          <w:sz w:val="26"/>
          <w:szCs w:val="26"/>
        </w:rPr>
        <w:t>HỆ THỐNG TIÊU CHUẨN THẨM ĐỊNH GIÁ VIỆT NAM</w:t>
      </w:r>
    </w:p>
    <w:p w14:paraId="61F5BB82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____________</w:t>
      </w:r>
    </w:p>
    <w:p w14:paraId="2B2757A0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12</w:t>
      </w:r>
    </w:p>
    <w:p w14:paraId="1F596719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43D4F8FB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 TĐGVN 12)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(Ban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kèm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28/2021/TT-BTC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27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4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2021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)</w:t>
      </w:r>
    </w:p>
    <w:p w14:paraId="5C609949" w14:textId="77777777" w:rsidR="00065BD0" w:rsidRPr="00065BD0" w:rsidRDefault="00065BD0" w:rsidP="00065BD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00E5792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I. QUY ĐỊNH CHUNG</w:t>
      </w:r>
    </w:p>
    <w:p w14:paraId="7E64F19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Phạm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vi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195A28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gọi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487C9C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8541FB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4.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ngữ</w:t>
      </w:r>
      <w:proofErr w:type="spellEnd"/>
    </w:p>
    <w:p w14:paraId="5E50DD8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F4EA90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...);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đúng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...)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7B670F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D18994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tuổi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buộc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3BC578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i/>
          <w:iCs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riêng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lẻ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sớm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B77057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222222"/>
          <w:sz w:val="26"/>
          <w:szCs w:val="26"/>
        </w:rPr>
        <w:t>II. NỘI DUNG TIÊU CHUẨN</w:t>
      </w:r>
    </w:p>
    <w:p w14:paraId="6018EF1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1.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nghiệp</w:t>
      </w:r>
      <w:proofErr w:type="spellEnd"/>
    </w:p>
    <w:p w14:paraId="3798DE7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1.1.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7E9B029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tế-kỹ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nội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dung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3.</w:t>
      </w:r>
    </w:p>
    <w:p w14:paraId="1BBE939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931387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04FE59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1.2.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4427290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bởi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D5D7EF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ý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6DC442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chênh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nội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dung,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B30AE5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Khi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ý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ý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người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59D35C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(EPS),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(EBITDA)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B248B4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3FFEBE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trúc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tòa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1C0AA15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nghiệp</w:t>
      </w:r>
      <w:proofErr w:type="spellEnd"/>
    </w:p>
    <w:p w14:paraId="5EDD447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997DD8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21B21A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5E786D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E2CF19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Khi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riêng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Riêng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D3E59D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3.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quân</w:t>
      </w:r>
      <w:proofErr w:type="spellEnd"/>
    </w:p>
    <w:p w14:paraId="7C09A1A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88CBE3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thỏa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A69554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5FAAD0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CCD1D57" w14:textId="1B0C4225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8F2D225" wp14:editId="29FE4791">
            <wp:extent cx="160020" cy="25908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1674BE6B" wp14:editId="22C90A15">
                <wp:extent cx="60960" cy="259080"/>
                <wp:effectExtent l="0" t="0" r="0" b="0"/>
                <wp:docPr id="53" name="Rectangl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388C6" id="Rectangle 53" o:spid="_x0000_s1026" style="width:4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17B9D4C8" wp14:editId="0186FFA0">
            <wp:extent cx="60960" cy="25908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4F24C230" wp14:editId="06B04389">
            <wp:extent cx="114300" cy="2590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503A9ADB" wp14:editId="737EDBE7">
                <wp:extent cx="114300" cy="259080"/>
                <wp:effectExtent l="0" t="0" r="0" b="0"/>
                <wp:docPr id="50" name="Rectangl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9232D" id="Rectangle 50" o:spid="_x0000_s1026" style="width:9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thuế,lãi</w:t>
      </w:r>
      <w:proofErr w:type="spellEnd"/>
      <w:proofErr w:type="gram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353A137" wp14:editId="24C4497E">
            <wp:extent cx="381000" cy="2590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6A5CBD21" wp14:editId="38EF636D">
            <wp:extent cx="198120" cy="259080"/>
            <wp:effectExtent l="0" t="0" r="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B821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</w:p>
    <w:p w14:paraId="3CEADDB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UPCoM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94866C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</w:p>
    <w:p w14:paraId="099BF46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EFCD76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4E09A8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3.4.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37942C0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A69778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B1B93B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BFDCDB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3.5.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</w:p>
    <w:p w14:paraId="52CA765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C2BE2A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AA390E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(ii)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FFA3B5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gộp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DC3619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B83570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(ROE),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(ROA).</w:t>
      </w:r>
    </w:p>
    <w:p w14:paraId="78AEE03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7DD7A9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3.6.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6B60658" w14:textId="4561B06E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02D08876" wp14:editId="5B5E2296">
            <wp:extent cx="160020" cy="25908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150FD8CF" wp14:editId="2ACCD12C">
                <wp:extent cx="60960" cy="259080"/>
                <wp:effectExtent l="0" t="0" r="0" b="0"/>
                <wp:docPr id="46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5B483" id="Rectangle 46" o:spid="_x0000_s1026" style="width:4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1BFD2AB0" wp14:editId="471C1525">
            <wp:extent cx="60960" cy="2590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5A5B4FDE" wp14:editId="077ACE0F">
            <wp:extent cx="114300" cy="259080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7C13DEBF" wp14:editId="6415FB28">
                <wp:extent cx="114300" cy="259080"/>
                <wp:effectExtent l="0" t="0" r="0" b="0"/>
                <wp:docPr id="43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2E7CA" id="Rectangle 43" o:spid="_x0000_s1026" style="width:9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thuế,lãi</w:t>
      </w:r>
      <w:proofErr w:type="spellEnd"/>
      <w:proofErr w:type="gram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21554332" wp14:editId="137BC512">
            <wp:extent cx="381000" cy="25908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5EFF87BD" wp14:editId="2C30BD43">
            <wp:extent cx="198120" cy="2590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3CF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b)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hay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31628F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ý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42DBBD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Thu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mỗi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(EPS)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98CB70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UPCoM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6561B52" w14:textId="45B22E3E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0C074ECE" wp14:editId="5E56DEE7">
            <wp:extent cx="160020" cy="2590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ý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do.</w:t>
      </w:r>
    </w:p>
    <w:p w14:paraId="60631731" w14:textId="3A072DAD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(EV)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0F66F2F4" wp14:editId="15D225F7">
            <wp:extent cx="335280" cy="259080"/>
            <wp:effectExtent l="0" t="0" r="762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B83445E" wp14:editId="63BD4E9F">
            <wp:extent cx="114300" cy="2590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47D9D20" w14:textId="121AAA0B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lastRenderedPageBreak/>
        <w:drawing>
          <wp:inline distT="0" distB="0" distL="0" distR="0" wp14:anchorId="75E2C028" wp14:editId="28D51887">
            <wp:extent cx="4663440" cy="1981200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A4C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14:paraId="441C0D9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342077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sang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72611A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- EBITDA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A7F822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3.7.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78B08D7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82F3D9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75B526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57607B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b)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C1416A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09B616EE" w14:textId="6570E52C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lastRenderedPageBreak/>
        <w:drawing>
          <wp:inline distT="0" distB="0" distL="0" distR="0" wp14:anchorId="16F2C209" wp14:editId="3127F864">
            <wp:extent cx="5532120" cy="18897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A718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EBITDA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501B29E" w14:textId="33361F4C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A0A7E5A" wp14:editId="20B74DF3">
            <wp:extent cx="5532120" cy="1790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0CD2" w14:textId="5C8A39F9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7F9E2D8A" wp14:editId="0786E19F">
                <wp:extent cx="60960" cy="259080"/>
                <wp:effectExtent l="0" t="0" r="0" b="0"/>
                <wp:docPr id="34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7AC80" id="Rectangle 34" o:spid="_x0000_s1026" style="width:4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246083B" wp14:editId="67DA4E89">
            <wp:extent cx="60960" cy="259080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,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03B6BE71" wp14:editId="23702969">
                <wp:extent cx="68580" cy="259080"/>
                <wp:effectExtent l="0" t="0" r="0" b="0"/>
                <wp:docPr id="32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BD187" id="Rectangle 32" o:spid="_x0000_s1026" style="width:5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14B4A409" wp14:editId="5AEAF509">
            <wp:extent cx="68580" cy="259080"/>
            <wp:effectExtent l="0" t="0" r="762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,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71059C79" wp14:editId="7FB5368E">
                <wp:extent cx="60960" cy="259080"/>
                <wp:effectExtent l="0" t="0" r="0" b="0"/>
                <wp:docPr id="30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CA2CE" id="Rectangle 30" o:spid="_x0000_s1026" style="width:4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F50B86D" wp14:editId="1C07E022">
            <wp:extent cx="60960" cy="2590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AAEC1A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+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D4937E9" w14:textId="1D09D53C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56C03225" wp14:editId="06238DF6">
            <wp:extent cx="5524500" cy="10896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CF2975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1A40F0A" w14:textId="649FAC92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26509BB8" wp14:editId="62DD735D">
            <wp:extent cx="5600700" cy="9829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1BBD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7EFEC57" w14:textId="729E8A28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D72B95B" wp14:editId="1F2F3F5D">
            <wp:extent cx="5600700" cy="10058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992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c)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AE234F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lớn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316289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4.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dịch</w:t>
      </w:r>
      <w:proofErr w:type="spellEnd"/>
    </w:p>
    <w:p w14:paraId="141F17D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4.1.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7E38DA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4.2.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</w:p>
    <w:p w14:paraId="3FBDBF4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diễn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D607D9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4.3.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</w:p>
    <w:p w14:paraId="29BF899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40E171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4.4.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B98676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0C4C8E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UPCoM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85BBC2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5.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sản</w:t>
      </w:r>
      <w:proofErr w:type="spellEnd"/>
    </w:p>
    <w:p w14:paraId="524EF30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5.1.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9CDFD8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100%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E830CE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5.2.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49338A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EF27CF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kèm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hỗ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hỗ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7B034F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Khi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đúng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5.4.</w:t>
      </w:r>
    </w:p>
    <w:p w14:paraId="4DEDCF6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thỏa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...)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739DE0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206D2C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5.3.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</w:p>
    <w:p w14:paraId="1AD13D9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8358CA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961834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CF57BB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5.4.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5097847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FC21F3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534C4E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47344D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5249AF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gửi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858B0D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gửi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5.2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D8434A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b)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3E454F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99B617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II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8F6E9C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UPCoM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thỏa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50%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(ii)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372243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UPCoM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CE45E6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00631A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nắm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100%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II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8AC32F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nắm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50%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100%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II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II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12B9F9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1957137" w14:textId="0F8010C6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(ii)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222222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353DDE42" wp14:editId="0F035FD4">
                <wp:extent cx="68580" cy="259080"/>
                <wp:effectExtent l="0" t="0" r="0" b="0"/>
                <wp:docPr id="2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7E7E" id="Rectangle 25" o:spid="_x0000_s1026" style="width:5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218449BE" wp14:editId="4FF3C42E">
            <wp:extent cx="68580" cy="2590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6B0DC79A" wp14:editId="11ECED7A">
            <wp:extent cx="60960" cy="2590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0AAF4706" wp14:editId="5E85A3E5">
                <wp:extent cx="68580" cy="259080"/>
                <wp:effectExtent l="0" t="0" r="0" b="0"/>
                <wp:docPr id="22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77B11" id="Rectangle 22" o:spid="_x0000_s1026" style="width:5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01447033" wp14:editId="304EC5F8">
            <wp:extent cx="68580" cy="2590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3990FECA" wp14:editId="5E135966">
            <wp:extent cx="60960" cy="2590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0A8B4FF2" wp14:editId="026DB2AF">
            <wp:extent cx="68580" cy="2590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65BD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1D86BD93" wp14:editId="0C06784B">
            <wp:extent cx="60960" cy="2590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D25284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(iii)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(iii)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586980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nắm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50%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II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), (ii), (iii);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(iii)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78286B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5776D0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19E8F1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đòi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AE5491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932C7D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C2A131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dang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dang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xây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/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/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/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xây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52B673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D22BD1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lâu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lỗi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dang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...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tắc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8BCB94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đ)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B1BB86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trúc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xây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trượt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17CF27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máy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móc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chênh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khẩu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16EDD4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52AE38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e)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9676E8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dõi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007617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633162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g)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0E6B78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h)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E1BA79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5.5.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25F7F9E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thỏa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3.1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53B14C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6989B1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17828CD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Riêng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660B7A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772E62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Nam.</w:t>
      </w:r>
    </w:p>
    <w:p w14:paraId="1DF32CA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...</w:t>
      </w:r>
    </w:p>
    <w:p w14:paraId="150499A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C882C4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(x)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3.</w:t>
      </w:r>
    </w:p>
    <w:p w14:paraId="3F16B27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(-)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4.</w:t>
      </w:r>
    </w:p>
    <w:p w14:paraId="64C9A55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6D9158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7: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11CDAB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b)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AFEF75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264B22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...</w:t>
      </w:r>
    </w:p>
    <w:p w14:paraId="0C14713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7492BE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(x)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3.</w:t>
      </w:r>
    </w:p>
    <w:p w14:paraId="1D25B7E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(-)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4.</w:t>
      </w:r>
    </w:p>
    <w:p w14:paraId="4B0CC5E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40FFB9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7: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hóa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4349CB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5.6.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616BDFEE" w14:textId="40B94B89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55236EE4" wp14:editId="494D977C">
            <wp:extent cx="5562600" cy="24688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9F0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5349DA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6.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nghiệp</w:t>
      </w:r>
      <w:proofErr w:type="spellEnd"/>
    </w:p>
    <w:p w14:paraId="3E90C0A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6.1.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coi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23C6F6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6.2.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389E7D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C8F991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BEFEE2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E8F305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63F71F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6.3.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B041F8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lĩnh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tuổi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83AF94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đây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979F43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FCFF =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(EBIAT)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-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chênh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14:paraId="369A5FC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(EBIAT)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B5A57C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(EBIAT)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(EBIT)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3E61D0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EBIAT = EBIT X (1-t)</w:t>
      </w:r>
    </w:p>
    <w:p w14:paraId="1DF43DB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DF00A0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t: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3CBD1D4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EBIAT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EBIAT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E1A421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=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÷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</w:p>
    <w:p w14:paraId="1065E61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nhóm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3037C3C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65DE26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=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</w:p>
    <w:p w14:paraId="3AC3B66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6.4.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013A5D1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toàn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712585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5D37CF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WACC = 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x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x (1 -t) + 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x 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</w:p>
    <w:p w14:paraId="2D6DC4A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71D377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WACC: 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</w:p>
    <w:p w14:paraId="66E5CE6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</w:p>
    <w:p w14:paraId="192C677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</w:p>
    <w:p w14:paraId="578AFBF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t: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09F1904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</w:p>
    <w:p w14:paraId="13396B5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</w:p>
    <w:p w14:paraId="1CD8614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thỏa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02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4194EE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9F54A9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23B45B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trúc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lượng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(WACC)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6ED720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E3CC23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BF2ECD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b)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(R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14:paraId="617453B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(R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)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6BD418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, 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587463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, 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v.v.)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.</w:t>
      </w:r>
      <w:proofErr w:type="gramEnd"/>
    </w:p>
    <w:p w14:paraId="119D569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C10AC6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 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= (1 -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d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14:paraId="06B411A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14:paraId="451588F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đây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6340AA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Nam;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01,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58A695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d1)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</w:t>
      </w:r>
    </w:p>
    <w:p w14:paraId="59F8D87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A94682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= 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x β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l x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MRP</w:t>
      </w:r>
    </w:p>
    <w:p w14:paraId="6A6C78B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:</w:t>
      </w:r>
      <w:proofErr w:type="gramEnd"/>
    </w:p>
    <w:p w14:paraId="5E60929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39E4CA4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MRP,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</w:p>
    <w:p w14:paraId="1931DA3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L: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288C6B0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DF3EF7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(MRP)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R’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mỗi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R’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R’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R’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VN- INDEX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VN- INDEX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kê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235CFD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-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(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l)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hồi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57251E0" w14:textId="17025ECD" w:rsidR="00065BD0" w:rsidRPr="00065BD0" w:rsidRDefault="00065BD0" w:rsidP="00065BD0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4B620D66" wp14:editId="372163E7">
            <wp:extent cx="5494020" cy="579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ED1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biến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5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VN-INDEX.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D849A9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(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l)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32ACAD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niêm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dưới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BB4D1A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, 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ít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β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2DCDAC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DC2B51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(1)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bỏ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1AA7CFD" w14:textId="589633A0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0BA8E377" wp14:editId="3DC8BA0C">
            <wp:extent cx="2590800" cy="10363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C7E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4C5F80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u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bẩy</w:t>
      </w:r>
      <w:proofErr w:type="spellEnd"/>
    </w:p>
    <w:p w14:paraId="49C7FC1B" w14:textId="7F5F91C3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692B04CD" wp14:editId="72BE08AC">
                <wp:extent cx="68580" cy="259080"/>
                <wp:effectExtent l="0" t="0" r="0" b="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A9848" id="Rectangle 14" o:spid="_x0000_s1026" style="width:5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32640BA2" wp14:editId="729DF715">
            <wp:extent cx="68580" cy="2590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81F651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D/E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</w:p>
    <w:p w14:paraId="0774D4B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t: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2810D89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(2)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bẩy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95181C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(3)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(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l)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</w:p>
    <w:p w14:paraId="36EC8B3B" w14:textId="1A86A79F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lastRenderedPageBreak/>
        <w:drawing>
          <wp:inline distT="0" distB="0" distL="0" distR="0" wp14:anchorId="431F138D" wp14:editId="47BF8CBA">
            <wp:extent cx="5021580" cy="9448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62B6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0DBE78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</w:p>
    <w:p w14:paraId="2F4D3EF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u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bẩy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</w:p>
    <w:p w14:paraId="41747FCA" w14:textId="2214DC36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mc:AlternateContent>
          <mc:Choice Requires="wps">
            <w:drawing>
              <wp:inline distT="0" distB="0" distL="0" distR="0" wp14:anchorId="1A3DEFED" wp14:editId="47EE753F">
                <wp:extent cx="68580" cy="259080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CFC60" id="Rectangle 11" o:spid="_x0000_s1026" style="width:5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552A198F" wp14:editId="248F4DAE">
            <wp:extent cx="68580" cy="25908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D5732D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D/E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đòn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bẩy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D/E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54710E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t: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</w:p>
    <w:p w14:paraId="125FD50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d2)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</w:t>
      </w:r>
    </w:p>
    <w:p w14:paraId="017CD52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D09D79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=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fHK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 + 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x </w:t>
      </w:r>
      <w:proofErr w:type="spellStart"/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MRPhk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 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gíá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14:paraId="6DA08BF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fHK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325FBA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MRPhk</w:t>
      </w:r>
      <w:proofErr w:type="spellEnd"/>
      <w:r w:rsidRPr="00065BD0">
        <w:rPr>
          <w:rFonts w:ascii="Arial" w:eastAsia="Times New Roman" w:hAnsi="Arial" w:cs="Arial"/>
          <w:smallCaps/>
          <w:color w:val="000000"/>
          <w:sz w:val="26"/>
          <w:szCs w:val="26"/>
        </w:rPr>
        <w:t>:</w:t>
      </w: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333F60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- β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L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cùng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B726BD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riêng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FA1111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d3)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</w:t>
      </w:r>
    </w:p>
    <w:p w14:paraId="311A943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3B43C5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= 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+ 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p</w:t>
      </w:r>
    </w:p>
    <w:p w14:paraId="147CEC2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f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phiếu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10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77CF76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p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02CE73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chỉnh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R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e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yếu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rủi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riêng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5AF01E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6.5.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</w:p>
    <w:p w14:paraId="65E9858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AB3D71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04E9744" w14:textId="2D83ED54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4B236135" wp14:editId="3BD9CC6B">
            <wp:extent cx="2194560" cy="800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01B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E64A69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FCFF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n+1: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 + 1</w:t>
      </w:r>
    </w:p>
    <w:p w14:paraId="3658CCC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mỗi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7B4857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33704520" w14:textId="5C75D7B8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27551B6D" wp14:editId="6C9CF527">
            <wp:extent cx="2354580" cy="8610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8A6E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DC6DFCD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g: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</w:p>
    <w:p w14:paraId="6184A23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,...</w:t>
      </w:r>
      <w:proofErr w:type="gramEnd"/>
    </w:p>
    <w:p w14:paraId="384F597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728FDE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6.6.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AA0890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BB6187A" w14:textId="0144E415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0709F107" wp14:editId="5C2B395F">
            <wp:extent cx="4419600" cy="922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E3F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F97B79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A6C4BD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lấy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7A570E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7.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tức</w:t>
      </w:r>
      <w:proofErr w:type="spellEnd"/>
    </w:p>
    <w:p w14:paraId="40E9684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7.1.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coi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551FFC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7.2.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</w:p>
    <w:p w14:paraId="45CF220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65A50F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tỉ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lĩnh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tuổi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1E12AC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b)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633420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c)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2779CF2E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070DE544" w14:textId="26EC2D1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23705783" wp14:editId="19FD5680">
            <wp:extent cx="1714500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151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-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mỗi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F337782" w14:textId="3CEC5F22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27D9F862" wp14:editId="36E9A85A">
            <wp:extent cx="1722120" cy="754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BA1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FFC454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n+1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 + 1</w:t>
      </w:r>
    </w:p>
    <w:p w14:paraId="3BFB43F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g: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</w:p>
    <w:p w14:paraId="316AF5A2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sung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F5E035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4B3295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cửa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846283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68129CE" w14:textId="6D0F5FA1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01A9F7D" wp14:editId="27651CD2">
            <wp:extent cx="332232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B8A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91198F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325FB5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8.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hữu</w:t>
      </w:r>
      <w:proofErr w:type="spellEnd"/>
    </w:p>
    <w:p w14:paraId="432840F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8.1.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ty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coi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cổ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A5180C5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8.2.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</w:p>
    <w:p w14:paraId="23C6107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007335E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lĩnh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vực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cảnh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chọn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thiểu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03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đang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đánh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tuổi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đời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EE76BA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F19E139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FCFE =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hao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-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chênh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</w:p>
    <w:p w14:paraId="4EE2412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8EAD30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: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;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nằm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nhóm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mua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góp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43AEAD8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F43E2C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= (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+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) 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vay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ngắn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</w:p>
    <w:p w14:paraId="0A605BE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b)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6.4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DB2F58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c)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</w:p>
    <w:p w14:paraId="4581130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1: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03C2EF99" w14:textId="1D5BD2BB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48658116" wp14:editId="40307095">
            <wp:extent cx="1973580" cy="8458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7913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127CC7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>FCFE </w:t>
      </w:r>
      <w:r w:rsidRPr="00065BD0">
        <w:rPr>
          <w:rFonts w:ascii="Arial" w:eastAsia="Times New Roman" w:hAnsi="Arial" w:cs="Arial"/>
          <w:color w:val="000000"/>
          <w:sz w:val="26"/>
          <w:szCs w:val="26"/>
          <w:vertAlign w:val="subscript"/>
        </w:rPr>
        <w:t>n+1</w:t>
      </w:r>
      <w:r w:rsidRPr="00065BD0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 + 1</w:t>
      </w:r>
    </w:p>
    <w:p w14:paraId="1EDB765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2: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giai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đoạn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đặn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mỗi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kéo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457357A" w14:textId="2C4B9D63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7915FA70" wp14:editId="20A9C732">
            <wp:extent cx="20955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75AC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4CCDED9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g: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321D810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nhuận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triển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tốc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,...</w:t>
      </w:r>
      <w:proofErr w:type="gramEnd"/>
    </w:p>
    <w:p w14:paraId="146AA0F4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3: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chấm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dứt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9AD5A8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d)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4: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6A76B51F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tỷ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suất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chi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70F5C6C" w14:textId="2330F5C1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 wp14:anchorId="5B358589" wp14:editId="1FABF70A">
            <wp:extent cx="3390900" cy="891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863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vô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C7F6DF6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Ước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cuối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phi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tài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phải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FAA38C1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8.3.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nội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dung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căn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cứ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thêm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dòng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tiền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khấu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Tiêu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chuẩn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Nam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nhập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0501B68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9.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luận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về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b/>
          <w:bCs/>
          <w:color w:val="000000"/>
          <w:sz w:val="26"/>
          <w:szCs w:val="26"/>
        </w:rPr>
        <w:t>nghiệp</w:t>
      </w:r>
      <w:proofErr w:type="spellEnd"/>
    </w:p>
    <w:p w14:paraId="0C382FB7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sở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hữu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qua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bình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quân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kết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quả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dựa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cậy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dữ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liệu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...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phù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65BD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065BD0">
        <w:rPr>
          <w:rFonts w:ascii="Arial" w:eastAsia="Times New Roman" w:hAnsi="Arial" w:cs="Arial"/>
          <w:color w:val="000000"/>
          <w:sz w:val="26"/>
          <w:szCs w:val="26"/>
        </w:rPr>
        <w:t>./.</w:t>
      </w:r>
    </w:p>
    <w:p w14:paraId="628B252B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5BD0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0F1DCA7A" w14:textId="77777777" w:rsidR="00065BD0" w:rsidRPr="00065BD0" w:rsidRDefault="00065BD0" w:rsidP="00065BD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065BD0">
        <w:rPr>
          <w:rFonts w:ascii="Arial" w:eastAsia="Times New Roman" w:hAnsi="Arial" w:cs="Arial"/>
          <w:sz w:val="26"/>
          <w:szCs w:val="26"/>
        </w:rPr>
        <w:t> </w:t>
      </w:r>
    </w:p>
    <w:p w14:paraId="59896A72" w14:textId="77777777" w:rsidR="00904EC2" w:rsidRPr="00065BD0" w:rsidRDefault="00904EC2">
      <w:pPr>
        <w:rPr>
          <w:rFonts w:ascii="Arial" w:hAnsi="Arial" w:cs="Arial"/>
          <w:sz w:val="26"/>
          <w:szCs w:val="26"/>
        </w:rPr>
      </w:pPr>
    </w:p>
    <w:sectPr w:rsidR="00904EC2" w:rsidRPr="0006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D0"/>
    <w:rsid w:val="00065BD0"/>
    <w:rsid w:val="0090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A74E"/>
  <w15:chartTrackingRefBased/>
  <w15:docId w15:val="{A7864979-DC4A-4719-89EC-98174D4A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BD0"/>
    <w:rPr>
      <w:b/>
      <w:bCs/>
    </w:rPr>
  </w:style>
  <w:style w:type="character" w:styleId="Emphasis">
    <w:name w:val="Emphasis"/>
    <w:basedOn w:val="DefaultParagraphFont"/>
    <w:uiPriority w:val="20"/>
    <w:qFormat/>
    <w:rsid w:val="00065BD0"/>
    <w:rPr>
      <w:i/>
      <w:iCs/>
    </w:rPr>
  </w:style>
  <w:style w:type="character" w:customStyle="1" w:styleId="demuc4">
    <w:name w:val="demuc4"/>
    <w:basedOn w:val="DefaultParagraphFont"/>
    <w:rsid w:val="00065BD0"/>
  </w:style>
  <w:style w:type="character" w:styleId="Hyperlink">
    <w:name w:val="Hyperlink"/>
    <w:basedOn w:val="DefaultParagraphFont"/>
    <w:uiPriority w:val="99"/>
    <w:semiHidden/>
    <w:unhideWhenUsed/>
    <w:rsid w:val="00065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BD0"/>
    <w:rPr>
      <w:color w:val="800080"/>
      <w:u w:val="single"/>
    </w:rPr>
  </w:style>
  <w:style w:type="character" w:customStyle="1" w:styleId="demuc1">
    <w:name w:val="demuc1"/>
    <w:basedOn w:val="DefaultParagraphFont"/>
    <w:rsid w:val="00065BD0"/>
  </w:style>
  <w:style w:type="character" w:customStyle="1" w:styleId="demuc2">
    <w:name w:val="demuc2"/>
    <w:basedOn w:val="DefaultParagraphFont"/>
    <w:rsid w:val="0006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9850</Words>
  <Characters>56147</Characters>
  <Application>Microsoft Office Word</Application>
  <DocSecurity>0</DocSecurity>
  <Lines>467</Lines>
  <Paragraphs>131</Paragraphs>
  <ScaleCrop>false</ScaleCrop>
  <Company/>
  <LinksUpToDate>false</LinksUpToDate>
  <CharactersWithSpaces>65866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2021-09-15T03:58:00Z</dcterms:created>
  <dcterms:modified xsi:type="dcterms:W3CDTF">2021-09-15T03:59:00Z</dcterms:modified>
</cp:coreProperties>
</file>